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53" w:rsidRDefault="004D7553" w:rsidP="00D76515">
      <w:pPr>
        <w:spacing w:before="100" w:beforeAutospacing="1" w:after="100" w:afterAutospacing="1" w:line="240" w:lineRule="auto"/>
        <w:rPr>
          <w:rFonts w:ascii="Georgia" w:eastAsia="Times New Roman" w:hAnsi="Georgia" w:cs="Times New Roman"/>
          <w:b/>
          <w:bCs/>
          <w:color w:val="333333"/>
          <w:sz w:val="24"/>
          <w:szCs w:val="24"/>
          <w:lang w:eastAsia="ru-RU"/>
        </w:rPr>
      </w:pPr>
      <w:r w:rsidRPr="004D7553">
        <w:rPr>
          <w:rFonts w:ascii="Georgia" w:eastAsia="Times New Roman" w:hAnsi="Georgia" w:cs="Times New Roman"/>
          <w:b/>
          <w:bCs/>
          <w:color w:val="333333"/>
          <w:sz w:val="24"/>
          <w:szCs w:val="24"/>
          <w:lang w:eastAsia="ru-RU"/>
        </w:rPr>
        <w:t>Анализ финансово-хозяйственной деятельности  акционерного общества «Намкоммунтеплоэнерго»  по итогам деятельности за 2016г.</w:t>
      </w:r>
    </w:p>
    <w:p w:rsidR="004D7553" w:rsidRDefault="004D7553" w:rsidP="00D76515">
      <w:pPr>
        <w:spacing w:before="100" w:beforeAutospacing="1" w:after="100" w:afterAutospacing="1" w:line="240" w:lineRule="auto"/>
        <w:rPr>
          <w:rFonts w:ascii="Georgia" w:eastAsia="Times New Roman" w:hAnsi="Georgia" w:cs="Times New Roman"/>
          <w:b/>
          <w:bCs/>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br/>
        <w:t>I.ОБЩЕЕ СВЕДЕНИЕ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АО «Намкоммунтеплоэнерго» -  единственный поставщик  коммунальных услуг по  Намскому  муниципальному району. Имеет 18 производственных участков в населенных пунктах Намского улуса.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Количество эксплуатируемых котельных  на 2016г.составляет 65 единиц, в том числе: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-Газовых котельных 51 единиц;</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-Котельные на угле  14 единиц;</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Протяженность тепловых сетей   52,9 км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Реализация тепловой энергии  в 2016г. составила  92,5 тыс.Гкал.</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Выработка тепловой энергии составила 118 353,83 Гкал ( годовой план 119 200 Гкал).  из них:</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-90962,81 Гкал реализовано внешним потребителям;</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-1534,36 Гкал внутреннее потребление;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-1285,09 Гкал на собственные нужды источника тепла;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-24664,59 Гкал - потери в сетях.</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Расход топлива: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Расход газа 12 982 тыс.м3, при плане 13 227  тыс. м3.</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Расход угля составил 11 855 тонн при плане 10 054 тонн. Перерасход 1 801тонн.</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Электроэнергия 4 730 т.квт.ч. при плане 3 932 т.квт.ч. перерасход 798 т.квт.ч.</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Численность производственного персонала 330 человек.</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Выручка от реализации теплоэнергии составила 365 471,5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Выручка от реализации водоснабжения составила 7 179,7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Субсидия на возмещение недополученных доходам организациям, оказывающим коммунальные услуги населению, в связи с государственным регулированием тарифов на 2016 год составила 183 747,3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1.    Основные показатели деятельности предприятия за 2016 год.</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тыс.руб.</w:t>
      </w:r>
    </w:p>
    <w:tbl>
      <w:tblPr>
        <w:tblW w:w="945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25"/>
        <w:gridCol w:w="3872"/>
        <w:gridCol w:w="2104"/>
        <w:gridCol w:w="1864"/>
        <w:gridCol w:w="1385"/>
      </w:tblGrid>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Показатели</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Доходы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Расходы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Прибыль (убыток)</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Выручка итого</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318 063, 902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Водоснабжение (распределяемое)-произв.филиалы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263, 599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Канализация вывозная</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1 287, 344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Горячая вода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491, 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Горячая вода (население)</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нагрев воды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669, 742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Отопление</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365 344, 723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отопление (население)</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подвоз воды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766, 561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подвоз чистой воды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67, 360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холодная вода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6 424, 107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холодная вода (население)</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Всего выручка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375 315, 405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НДС с выручки</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57 251, 502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Себестоимость</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464 699, 009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146 635, 106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Материальные затраты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25 222, 076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Основное производство</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Расходы на оплату труда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106 007, 728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Начисления на оплату труда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33 009, 481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амортизация</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63 513, 816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Вспомогательные производства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23 444, 107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Общехозяйственные расходы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66 483, 658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поставщиками и подрядчиками</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104 833, 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по налогам и сборам</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13, 761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подотчетными лицами</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574, 279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Расчеты с персоналом по прочим </w:t>
            </w:r>
            <w:r w:rsidRPr="00D76515">
              <w:rPr>
                <w:rFonts w:ascii="inherit" w:eastAsia="Times New Roman" w:hAnsi="inherit" w:cs="Times New Roman"/>
                <w:color w:val="333333"/>
                <w:sz w:val="24"/>
                <w:szCs w:val="24"/>
                <w:lang w:eastAsia="ru-RU"/>
              </w:rPr>
              <w:lastRenderedPageBreak/>
              <w:t>операциям (предоставленные займы)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578, 240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разными дебиторами и кредиторами</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368, 708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резервы предстоящих расходов (по отпускным)</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40 311, 890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Расходы будущих периодов (на страхование ОС)</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337, 615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Субсидия (финансирование убытков)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189 381, 298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42 746, 192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Прочие доходы, не входящие в выручку</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10 529, 160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49 285, 945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3 989, 406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возмещаемые доходы (расходы) от прочих услуг</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821, 464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369, 880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промывки систем отопления</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259, 717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259, 717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услуг автотранспорта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68, 761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68, 761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в виде стоимости материалов оприходованных  при демонтаже ОС</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803, 250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325, 404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ЖЭУ вывоз сухого мусора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61, 273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196, 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ЖЭУ техническое обслуживание</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182, 446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150, 868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ЖЭУ уборка дворовых территорий и мест санитарного назначения</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189, 341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960, 162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ЖЭУ уборка лестничных клеток</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199, 502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406, 296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реализации ГСМ</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172, 249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168, 693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реализации материалов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21, 633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20, 357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реализации металлопроката, сантех.и электротехн.изделий</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410, 135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294, 865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реализации угля</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134, 270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111, 760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СМР</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799, 992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645, 391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от услуг по техобслуживанию систем отопления</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71, 281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71, 281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Энергосервисный контракт (установка счетчиков)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455, 522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723, 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доходы (расходы) связанные с </w:t>
            </w:r>
            <w:r w:rsidRPr="00D76515">
              <w:rPr>
                <w:rFonts w:ascii="inherit" w:eastAsia="Times New Roman" w:hAnsi="inherit" w:cs="Times New Roman"/>
                <w:color w:val="333333"/>
                <w:sz w:val="24"/>
                <w:szCs w:val="24"/>
                <w:lang w:eastAsia="ru-RU"/>
              </w:rPr>
              <w:lastRenderedPageBreak/>
              <w:t>ликвидацией основных средств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xml:space="preserve">                                  </w:t>
            </w:r>
            <w:r w:rsidRPr="00D76515">
              <w:rPr>
                <w:rFonts w:ascii="inherit" w:eastAsia="Times New Roman" w:hAnsi="inherit" w:cs="Times New Roman"/>
                <w:color w:val="333333"/>
                <w:sz w:val="24"/>
                <w:szCs w:val="24"/>
                <w:lang w:eastAsia="ru-RU"/>
              </w:rPr>
              <w:lastRenderedPageBreak/>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494, 471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связанные с реализацией основных средств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759, 613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720, 529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(расходы),  связанные со сдачей имущества в аренду (субаренду)</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50, 923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50, 923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Излишки (недостачи) выявленные при инвентаризации</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2 070, 138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281, 028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Премия, выплаченная покупателю</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29, 329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77, 819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Прибыль (убыток) прошлых лет</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25, 829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738, 575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Проценты к получению</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26 557, 377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Расходы законсервированных объектов ОС</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824, 808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Расходы на услуги банков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1 018, 923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Расходы по надзору за инвестпрограммой</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2 890, 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Резервы по сомнительным долгам</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2 846, 505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8 558, 989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Списание неликвидных материалов</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511, 730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добровольные взносы</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65, 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Судебные издержки, исполнительные сборы, госпошлина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56, 653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127, 636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Штрафы, пени и неустойки к получению (уплате)</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39, 323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546, 517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выбросы сверхлимита</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42, 061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 от ФОТ по колдоговору</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1 005, 899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Текущий налог на прибыль</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1 170, 387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r>
      <w:tr w:rsidR="00D76515" w:rsidRPr="00D76515" w:rsidTr="00D7651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Прибыль (убыток)</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2 819, 019    </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Кадровые показатели Общества</w:t>
      </w:r>
      <w:r w:rsidRPr="00D76515">
        <w:rPr>
          <w:rFonts w:ascii="Georgia" w:eastAsia="Times New Roman" w:hAnsi="Georgia" w:cs="Times New Roman"/>
          <w:color w:val="333333"/>
          <w:sz w:val="24"/>
          <w:szCs w:val="24"/>
          <w:lang w:eastAsia="ru-RU"/>
        </w:rPr>
        <w:t>.</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Среднесписочная численность персонала в 2016 году-430 человек (в том числе АУП- 30 человек, ИТР - 32 человека, рабочие - 368 человек).</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Текучесть кадров: принято -98 чел., уволено-104 чел., в том числе по инициативе работника 8 чел., по смерти 2 чел., истечением срока договора 86 чел., признанием нетрудоспособности -1, алк. опьянение -1, переводом на другую работу-1 чел., сокращение 4 чел., по соглашению сторон -1 чел.</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Качественный состав: высшее образование/ незаконченное высшее - 52 чел. (12,1%), среднее профессиональное образование - 64 чел. (14,9%), начальное профессиональное образование - 185 чел. (43%), среднее -117 чел. (27,2%).</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 </w:t>
      </w:r>
    </w:p>
    <w:p w:rsidR="00D76515" w:rsidRPr="00D76515" w:rsidRDefault="00D76515" w:rsidP="00D76515">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II. Оценка финансового состояния.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На основании  данных бухгалтерского баланса, отчета о финансовых результатах и дополнительные сведения в отчете рассматривается 2 периода (с 31.12.2015 г. по 31.12.2016 г.). В основе выводов – сравнение базового (31.12.2015 г.) и отчетного (31.12.2016 г.) периодов.</w:t>
      </w:r>
    </w:p>
    <w:p w:rsidR="00D76515" w:rsidRPr="00D76515" w:rsidRDefault="00D76515" w:rsidP="00D76515">
      <w:pPr>
        <w:numPr>
          <w:ilvl w:val="0"/>
          <w:numId w:val="2"/>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Оценка платежеспособности общества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Анализ платежеспособности – это ретроспективная, текущая и прогнозная оценки.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Ретроспективную и текущую платежеспособность общества оценили с помощью:</w:t>
      </w:r>
    </w:p>
    <w:p w:rsidR="00D76515" w:rsidRPr="00D76515" w:rsidRDefault="00D76515" w:rsidP="00D76515">
      <w:pPr>
        <w:numPr>
          <w:ilvl w:val="0"/>
          <w:numId w:val="3"/>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коэффициентов абсолютной и текущей ликвидности;</w:t>
      </w:r>
    </w:p>
    <w:p w:rsidR="00D76515" w:rsidRPr="00D76515" w:rsidRDefault="00D76515" w:rsidP="00D76515">
      <w:pPr>
        <w:numPr>
          <w:ilvl w:val="0"/>
          <w:numId w:val="3"/>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показателей обеспеченности активами и платежеспособности по текущим обязательствам.</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2. Расчет ретроспективных и текущих показателей платежеспособности</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224"/>
        <w:gridCol w:w="1381"/>
        <w:gridCol w:w="1381"/>
        <w:gridCol w:w="1258"/>
        <w:gridCol w:w="1496"/>
        <w:gridCol w:w="1735"/>
      </w:tblGrid>
      <w:tr w:rsidR="00D76515" w:rsidRPr="00D76515" w:rsidTr="00D76515">
        <w:trPr>
          <w:tblCellSpacing w:w="15" w:type="dxa"/>
        </w:trPr>
        <w:tc>
          <w:tcPr>
            <w:tcW w:w="10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платежеспособности</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31.12.2015 г. (базовый период)</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c>
          <w:tcPr>
            <w:tcW w:w="6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Темп изменения показателя, %</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Нормативные значения, ед.</w:t>
            </w:r>
          </w:p>
        </w:tc>
        <w:tc>
          <w:tcPr>
            <w:tcW w:w="12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 чем говорит показатель</w:t>
            </w:r>
          </w:p>
        </w:tc>
      </w:tr>
      <w:tr w:rsidR="00D76515" w:rsidRPr="00D76515" w:rsidTr="00D76515">
        <w:trPr>
          <w:tblCellSpacing w:w="15" w:type="dxa"/>
        </w:trPr>
        <w:tc>
          <w:tcPr>
            <w:tcW w:w="10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абсолютной ликвидности</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0,4</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0,6</w:t>
            </w:r>
          </w:p>
        </w:tc>
        <w:tc>
          <w:tcPr>
            <w:tcW w:w="6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34,88</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ниже 0,2</w:t>
            </w:r>
          </w:p>
        </w:tc>
        <w:tc>
          <w:tcPr>
            <w:tcW w:w="12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Часть краткосрочных обязательств может быть погашена немедленно за счет наиболее ликвидных активов (денежных средств и их эквивалентов)</w:t>
            </w:r>
          </w:p>
        </w:tc>
      </w:tr>
      <w:tr w:rsidR="00D76515" w:rsidRPr="00D76515" w:rsidTr="00D76515">
        <w:trPr>
          <w:tblCellSpacing w:w="15" w:type="dxa"/>
        </w:trPr>
        <w:tc>
          <w:tcPr>
            <w:tcW w:w="10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текущей ликвидности (покрытия)</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0,4</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0,6</w:t>
            </w:r>
          </w:p>
        </w:tc>
        <w:tc>
          <w:tcPr>
            <w:tcW w:w="6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31,82</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 1,5 до 2</w:t>
            </w:r>
          </w:p>
        </w:tc>
        <w:tc>
          <w:tcPr>
            <w:tcW w:w="12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Характеризует обеспеченность общества оборотными средствами, необходимыми для своевременного погашения </w:t>
            </w:r>
            <w:r w:rsidRPr="00D76515">
              <w:rPr>
                <w:rFonts w:ascii="inherit" w:eastAsia="Times New Roman" w:hAnsi="inherit" w:cs="Times New Roman"/>
                <w:color w:val="333333"/>
                <w:sz w:val="24"/>
                <w:szCs w:val="24"/>
                <w:lang w:eastAsia="ru-RU"/>
              </w:rPr>
              <w:lastRenderedPageBreak/>
              <w:t>текущих обязательств. Отражает способность погашать краткосрочные обязательства только за счет оборотных активов</w:t>
            </w:r>
          </w:p>
        </w:tc>
      </w:tr>
      <w:tr w:rsidR="00D76515" w:rsidRPr="00D76515" w:rsidTr="00D76515">
        <w:trPr>
          <w:tblCellSpacing w:w="15" w:type="dxa"/>
        </w:trPr>
        <w:tc>
          <w:tcPr>
            <w:tcW w:w="10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Показатель обеспеченности обязательств активами</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w:t>
            </w:r>
          </w:p>
        </w:tc>
        <w:tc>
          <w:tcPr>
            <w:tcW w:w="6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-2,06</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1</w:t>
            </w:r>
          </w:p>
        </w:tc>
        <w:tc>
          <w:tcPr>
            <w:tcW w:w="12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Показывает долю активов, которая приходится на единицу долга</w:t>
            </w:r>
          </w:p>
        </w:tc>
      </w:tr>
      <w:tr w:rsidR="00D76515" w:rsidRPr="00D76515" w:rsidTr="00D76515">
        <w:trPr>
          <w:tblCellSpacing w:w="15" w:type="dxa"/>
        </w:trPr>
        <w:tc>
          <w:tcPr>
            <w:tcW w:w="10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Степень платежеспособности по текущим обязательствам</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w:t>
            </w:r>
          </w:p>
        </w:tc>
        <w:tc>
          <w:tcPr>
            <w:tcW w:w="6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20,00</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более 6</w:t>
            </w:r>
          </w:p>
        </w:tc>
        <w:tc>
          <w:tcPr>
            <w:tcW w:w="12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в течение которого можно погасить текущую задолженность перед кредиторами за счет выручки. Чем ниже этот показатель, тем быстрее общества сможет расплатиться с долгами</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2а. Динамика показателей платежеспособности</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377"/>
        <w:gridCol w:w="2361"/>
        <w:gridCol w:w="2361"/>
        <w:gridCol w:w="2376"/>
      </w:tblGrid>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платежеспособности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31.12.2015 г. (базовый период)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Нормативные значения, ед.</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абсолютной ликвидности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ниже 0,2</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текущей ликвидности (покрытия)</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 1,5 до 2</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обеспеченности обязательств общества активами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1</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Степень платежеспособности по текущим обязательствам</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более 6</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Коэффициент абсолютной ликвидности равна 0,6 (на 31.12.2016 г.). Общество  может погасить сразу свыше 20% текущих обязательств. Изменение абсолютной ликвидности 34,88%, показатель увеличился по сравнению со значением на 31.12.2015 г., когда составлял 0,4 (больше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Текущая ликвидность 0,6 (на 31.12.2016 г.). Общество не может погашать краткосрочные обязательства за счет оборотных активов. Изменение текущей ликвидности 31,82%. По сравнению с базовым периодом показатель увеличился. На 31.12.2015 г. коэффициент составил 0,4 (ниже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Показатель обеспеченности обязательств  активами на 31.12.2016 г. составляет 1.(критическая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Степень платежеспособности по текущим обязательствам по состоянию на 31.12.2016 г. составляет  1,7. Текущие обязательства за счет собственной выручки можем погасить своевременно. Платежеспособность на приемлемом уровне. На 31.12.2015 г. 1,40 (в норме).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За период работы в отчетных датах не было крупных сделок, займов, которые могли бы привести к заметному ухудшению ее имущественного положения и тем самым подтвердить отсутствие за рассматриваемый период  признаков преднамеренности или фиктивности банкротства.</w:t>
      </w:r>
    </w:p>
    <w:p w:rsidR="00D76515" w:rsidRPr="00D76515" w:rsidRDefault="00D76515" w:rsidP="00D76515">
      <w:pPr>
        <w:numPr>
          <w:ilvl w:val="0"/>
          <w:numId w:val="4"/>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Оценка прогнозной платежеспособности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Оценка прогнозной платежеспособности основана на значениях коэффициентов утраты или восстановления платежеспособности.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Показатель утраты платежеспособности рассчитывается, если в пределах нормы коэффициенты:</w:t>
      </w:r>
    </w:p>
    <w:p w:rsidR="00D76515" w:rsidRPr="00D76515" w:rsidRDefault="00D76515" w:rsidP="00D76515">
      <w:pPr>
        <w:numPr>
          <w:ilvl w:val="0"/>
          <w:numId w:val="5"/>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текущей ликвидности (2);</w:t>
      </w:r>
    </w:p>
    <w:p w:rsidR="00D76515" w:rsidRPr="00D76515" w:rsidRDefault="00D76515" w:rsidP="00D76515">
      <w:pPr>
        <w:numPr>
          <w:ilvl w:val="0"/>
          <w:numId w:val="5"/>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обеспеченности собственными оборотными средствами (не меньше 0,1).</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Индикатор восстановления платежеспособности вычисляется, если коэффициент текущей ликвидности и коэффициент покрытия оборотных средств собственными источниками не соответствуют норме.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3. Прогнозная оценка платежеспособности</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377"/>
        <w:gridCol w:w="2361"/>
        <w:gridCol w:w="2361"/>
        <w:gridCol w:w="2376"/>
      </w:tblGrid>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платежеспособности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Нормативные значения, ед.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Сравнение с нормативом</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текущей ликвидности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Ниже допустимого значения</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Коэффициент обеспеченности </w:t>
            </w:r>
            <w:r w:rsidRPr="00D76515">
              <w:rPr>
                <w:rFonts w:ascii="inherit" w:eastAsia="Times New Roman" w:hAnsi="inherit" w:cs="Times New Roman"/>
                <w:color w:val="333333"/>
                <w:sz w:val="24"/>
                <w:szCs w:val="24"/>
                <w:lang w:eastAsia="ru-RU"/>
              </w:rPr>
              <w:lastRenderedPageBreak/>
              <w:t>собственными оборотными средствами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-5,3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0,1</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Ниже допустимого значения</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Коэффициент восстановления платежеспособности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1</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Ниже допустимого значения</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Два показателя (текущей ликвидности и обеспеченности собственными оборотными средствами) на отчетную дату ниже допустимых значений, поэтому дополнительно рассчитан коэффициент восстановления платежеспособности. Этот индикатор прогнозный. Он позволяет оценить платежеспособность в предстоящие шесть месяцев (при условии сохранения значений текущей ликвидности и обеспеченности собственными средствами). Его фактическое значение на отчетную дату 0,32. Это означает, что в течение шести месяцев общество не сможет повысить платежеспособность.</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i/>
          <w:iCs/>
          <w:color w:val="333333"/>
          <w:sz w:val="24"/>
          <w:szCs w:val="24"/>
          <w:lang w:eastAsia="ru-RU"/>
        </w:rPr>
        <w:t>3.Оценка финансовой устойчивости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Анализ финансовой устойчивости характеризует сбалансированность ее источников финансирования:</w:t>
      </w:r>
    </w:p>
    <w:p w:rsidR="00D76515" w:rsidRPr="00D76515" w:rsidRDefault="00D76515" w:rsidP="00D76515">
      <w:pPr>
        <w:numPr>
          <w:ilvl w:val="0"/>
          <w:numId w:val="6"/>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хватает ли средств для бесперебойной деятельности;</w:t>
      </w:r>
    </w:p>
    <w:p w:rsidR="00D76515" w:rsidRPr="00D76515" w:rsidRDefault="00D76515" w:rsidP="00D76515">
      <w:pPr>
        <w:numPr>
          <w:ilvl w:val="0"/>
          <w:numId w:val="6"/>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может ли общество обслуживать полученные займы и кредиты.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4. Расчет показателей финансовой устойчивости</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073"/>
        <w:gridCol w:w="1352"/>
        <w:gridCol w:w="1352"/>
        <w:gridCol w:w="1232"/>
        <w:gridCol w:w="1699"/>
        <w:gridCol w:w="1767"/>
      </w:tblGrid>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финансовой устойчивости</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31.12.2015 г. (базовый период)</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Темп изменения показателя, %</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Нормативные значения, ед.</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 чем говорит показатель</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автономии (финансовой зависимости)</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0,07</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0,07</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Больше 0,5</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Отражает долю активов общества, обеспеченных собственными средствами</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отношения заемных и собственных средств (финансовый рычаг)</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5,1</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4,8</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-5,9</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Меньше 1</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Показывает, сколько заемных средств приходится на единицу собственного капитала. Отражает структуру капитала</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Коэффициент </w:t>
            </w:r>
            <w:r w:rsidRPr="00D76515">
              <w:rPr>
                <w:rFonts w:ascii="inherit" w:eastAsia="Times New Roman" w:hAnsi="inherit" w:cs="Times New Roman"/>
                <w:color w:val="333333"/>
                <w:sz w:val="24"/>
                <w:szCs w:val="24"/>
                <w:lang w:eastAsia="ru-RU"/>
              </w:rPr>
              <w:lastRenderedPageBreak/>
              <w:t>соотношения мобильных и иммобилизованных средств</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0,13</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0,17</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30,77</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Больше 0,1 </w:t>
            </w:r>
            <w:r w:rsidRPr="00D76515">
              <w:rPr>
                <w:rFonts w:ascii="inherit" w:eastAsia="Times New Roman" w:hAnsi="inherit" w:cs="Times New Roman"/>
                <w:color w:val="333333"/>
                <w:sz w:val="24"/>
                <w:szCs w:val="24"/>
                <w:lang w:eastAsia="ru-RU"/>
              </w:rPr>
              <w:lastRenderedPageBreak/>
              <w:t>(норматив определяется для каждой индивидуально)</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xml:space="preserve">Отражает, </w:t>
            </w:r>
            <w:r w:rsidRPr="00D76515">
              <w:rPr>
                <w:rFonts w:ascii="inherit" w:eastAsia="Times New Roman" w:hAnsi="inherit" w:cs="Times New Roman"/>
                <w:color w:val="333333"/>
                <w:sz w:val="24"/>
                <w:szCs w:val="24"/>
                <w:lang w:eastAsia="ru-RU"/>
              </w:rPr>
              <w:lastRenderedPageBreak/>
              <w:t>сколько оборотных активов приходится на каждый рубль внеоборотных активов. Показывает структуру имущества общества</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Коэффициент маневренности</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1,06</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1,39</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23,7</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0,5</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Показывает, какая часть собственного оборотного капитала используется (находится в обороте)</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обеспеченности собственными оборотными средствами</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-7,20</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-5,30</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2,06</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0,1</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Отражает, достаточно ли собственных оборотных средств для ведения деятельности или же используются только заемные</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дебиторской задолженности в активах</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0,06</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0,08</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33,33</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 0,3 до 0,7</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Показывает, сколько дебиторской задолженности приходится на одну денежную единицу актива</w:t>
            </w:r>
          </w:p>
        </w:tc>
      </w:tr>
      <w:tr w:rsidR="00D76515" w:rsidRPr="00D76515" w:rsidTr="00D76515">
        <w:trPr>
          <w:tblCellSpacing w:w="15" w:type="dxa"/>
        </w:trPr>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долгосрочно привлеченных заемных средств</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0,93</w:t>
            </w:r>
          </w:p>
        </w:tc>
        <w:tc>
          <w:tcPr>
            <w:tcW w:w="7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0,92</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-1,08</w:t>
            </w:r>
          </w:p>
        </w:tc>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более 0,5</w:t>
            </w:r>
          </w:p>
        </w:tc>
        <w:tc>
          <w:tcPr>
            <w:tcW w:w="9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Отражает долю источников финансирования внеоборотных активов, которая приходится на долгосрочные обязательства</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4а. Динамика показателей финансовой устойчивости</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377"/>
        <w:gridCol w:w="2361"/>
        <w:gridCol w:w="2361"/>
        <w:gridCol w:w="2376"/>
      </w:tblGrid>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Показатель финансовой </w:t>
            </w:r>
            <w:r w:rsidRPr="00D76515">
              <w:rPr>
                <w:rFonts w:ascii="inherit" w:eastAsia="Times New Roman" w:hAnsi="inherit" w:cs="Times New Roman"/>
                <w:color w:val="333333"/>
                <w:sz w:val="24"/>
                <w:szCs w:val="24"/>
                <w:lang w:eastAsia="ru-RU"/>
              </w:rPr>
              <w:lastRenderedPageBreak/>
              <w:t>устойчивости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31.12.2015 г. (базовый период)</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Нормативные значения</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Коэффициент автономии (финансовой зависимости)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0,07</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0,07</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Больше 0,5</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отношения заемных и собственных средств (финансовый рычаг)</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5,1</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4,8</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Меньше 1</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соотношения мобильных и иммобилизованных средств</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0,13</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0,17</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Больше 0,1 (норматив определяется для каждого индивидуально)</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маневренности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1,06</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1,39</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0,5</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обеспеченности собственными оборотными средствами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-7,20</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-5,30</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менее 0,1</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дебиторской задолженности в активах</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0,06</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0,08</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От 0,3 до 0,7</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Коэффициент долгосрочно привлеченных заемных средств</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0,93</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0,92</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 более 0,5</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Коэффициент автономии (финансовой зависимости) 0,07 (на 31.12.2016 г.). Доля активов, обеспеченных собственными средствами ниже 50%. Изменение коэффициента 0,00%. Показатель остался на прежнем уровне по сравнению со значением на 31.12.2015 г.,  он составлял 0,07 (ниже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Коэффициент отношения заемных и собственных средств (финансовый рычаг) на 31.12.2016 г. равен 13,03. Это выше допустимого значения. Деятельность профинансирована в основном за счет заемных средств. Темп его изменения -3,27% – показатель сократился. На 31.12.2015 г. он составлял 13,47 (выше допустимого минимума).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Соотношение мобильных и иммобилизованных средств 0,17 (на 31.12.2016 г.). Большая сумма средств вложена во внеоборотные активы. По сравнению со значением на 31.12.2015 г. показатель увеличился (30,77%). На 31.12.2015 г. он составлял 0,13 (преобладали внеоборотные активы).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Коэффициент маневренности 1,39 (на 31.12.2016 г.). Для исполнения текущих обязательств средств достаточно, занятых в обороте. Изменение коэффициента 31,13% – показатель вырос. На 31.12.2015 г. он составлял 1,06 (в пределах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Коэффициент обеспеченности собственными оборотными средствами на 31.12.2016 г. отрицательный -5,30. Это значит нет собственных оборотных средств. Темп изменения этого показателя 26,39%. По сравнению со значением на 31.12.2015 г. обеспеченность собственными оборотными средствами увеличилась. На 31.12.2015 г. показатель -7,20 (ниже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Доля дебиторской задолженности в активах на 31.12.2016 г. 0,08%.  Деньги из оборота для финансирования дебиторки не отвлекаются. Изменение доли дебиторской задолженности 33,3%. Относительно значения на 31.12.2015 г. этот индикатор увеличился, на 31.12.2015 г. он составлял 0,06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Коэффициент долгосрочно привлеченных заемных средств на 31.12.2016 г. составляет 0,92. Это выше нормы. Зависимость  от долгосрочных кредитов и займов имеется. Низкий уровень финансовой устойчивости. По сравнению со значением на 31.12.2015 г. показатель сократился (-1,08%). На 31.12.2015 г. коэффициент составил 0,93 (выше нормы).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Доля просроченной кредиторской задолженности в пассивах 0,008 (на 31.12.2016 г.). У общества нет просроченных долгов. Темп изменения просроченной кредиторки 0,00% – показатель остался на прежнем уровне. На 31.12.2015 г. доля этой задолженности в норме (0,00).</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На отчетную дату имеются низкие показатели финансовой устойчивости. Вероятность банкротства высокая. Необходимо  принять меры по сокращению обязательств, пересмотреть кредитную политику и провести работу по  дебиторской задолженностью.</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i/>
          <w:iCs/>
          <w:color w:val="333333"/>
          <w:sz w:val="24"/>
          <w:szCs w:val="24"/>
          <w:lang w:eastAsia="ru-RU"/>
        </w:rPr>
        <w:t>4.Оценка деловой активности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Анализ деловой активности – это сравнение скорости оборота активов и обязательств, задействованных в ее основной деятельности (производственном процессе). Ключевой показатель – чистый цикл, отражающий источник финансирования производственной деятельности предприятия.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5. Оценка изменений показателей деловой активности, дн.</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1662"/>
        <w:gridCol w:w="1456"/>
        <w:gridCol w:w="1457"/>
        <w:gridCol w:w="1267"/>
        <w:gridCol w:w="1554"/>
        <w:gridCol w:w="2079"/>
      </w:tblGrid>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деловой активности</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31.12.2015 г.</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Темп изменения показателя, %</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Среднее значение показателя за период исследования, дн.</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 чем говорит показатель</w:t>
            </w:r>
          </w:p>
        </w:tc>
      </w:tr>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оборота материальных запасов</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39</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32</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-18</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Количество дней, за которое полностью обновляются материальные запасы</w:t>
            </w:r>
          </w:p>
        </w:tc>
      </w:tr>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Период </w:t>
            </w:r>
            <w:r w:rsidRPr="00D76515">
              <w:rPr>
                <w:rFonts w:ascii="inherit" w:eastAsia="Times New Roman" w:hAnsi="inherit" w:cs="Times New Roman"/>
                <w:color w:val="333333"/>
                <w:sz w:val="24"/>
                <w:szCs w:val="24"/>
                <w:lang w:eastAsia="ru-RU"/>
              </w:rPr>
              <w:lastRenderedPageBreak/>
              <w:t>оборота дебиторской задолженности</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59</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63</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7</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61</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Количество дней, </w:t>
            </w:r>
            <w:r w:rsidRPr="00D76515">
              <w:rPr>
                <w:rFonts w:ascii="inherit" w:eastAsia="Times New Roman" w:hAnsi="inherit" w:cs="Times New Roman"/>
                <w:color w:val="333333"/>
                <w:sz w:val="24"/>
                <w:szCs w:val="24"/>
                <w:lang w:eastAsia="ru-RU"/>
              </w:rPr>
              <w:lastRenderedPageBreak/>
              <w:t>в течение которых дебиторская задолженность остается неоплаченной</w:t>
            </w:r>
          </w:p>
        </w:tc>
      </w:tr>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Период оборота кредиторской задолженности</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Количество дней, в течение которых обязательства перед контрагентами остаются неоплаченными</w:t>
            </w:r>
          </w:p>
        </w:tc>
      </w:tr>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Затратный цикл</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98</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96</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97</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оборота (в днях) материальных запасов, дебиторской задолженности и прочих оборотных активов. Чем выше затратный цикл, тем больше потребность в финансировании производственного процесса</w:t>
            </w:r>
          </w:p>
        </w:tc>
      </w:tr>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Кредитный цикл</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оборота (в днях) кредиторской задолженности и прочих краткосрочных обязательств. Чем больше кредитный цикл, тем эффективнее предприятие использует возможность финансирования текущей деятельности за счет непосредственных участников производственного процесса</w:t>
            </w:r>
          </w:p>
        </w:tc>
      </w:tr>
      <w:tr w:rsidR="00D76515" w:rsidRPr="00D76515" w:rsidTr="00D76515">
        <w:trPr>
          <w:tblCellSpacing w:w="15" w:type="dxa"/>
        </w:trPr>
        <w:tc>
          <w:tcPr>
            <w:tcW w:w="8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Чистый цикл</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55</w:t>
            </w:r>
          </w:p>
        </w:tc>
        <w:tc>
          <w:tcPr>
            <w:tcW w:w="7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52</w:t>
            </w:r>
          </w:p>
        </w:tc>
        <w:tc>
          <w:tcPr>
            <w:tcW w:w="6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w:t>
            </w:r>
          </w:p>
        </w:tc>
        <w:tc>
          <w:tcPr>
            <w:tcW w:w="8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54</w:t>
            </w:r>
          </w:p>
        </w:tc>
        <w:tc>
          <w:tcPr>
            <w:tcW w:w="10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Разница между затратным и кредитным циклом. Если она </w:t>
            </w:r>
            <w:r w:rsidRPr="00D76515">
              <w:rPr>
                <w:rFonts w:ascii="inherit" w:eastAsia="Times New Roman" w:hAnsi="inherit" w:cs="Times New Roman"/>
                <w:color w:val="333333"/>
                <w:sz w:val="24"/>
                <w:szCs w:val="24"/>
                <w:lang w:eastAsia="ru-RU"/>
              </w:rPr>
              <w:lastRenderedPageBreak/>
              <w:t>отрицательная, производственный процесс финансируется за счет поставщиков и покупателей (кредиторской задолженности). Если она положительная, производственный процесс финансируется за счет собственных средств и (или) кредитов</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5а. Динамика показателей деловой активности, дн.</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377"/>
        <w:gridCol w:w="2361"/>
        <w:gridCol w:w="2361"/>
        <w:gridCol w:w="2376"/>
      </w:tblGrid>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деловой активности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31.12.2015 г. (базовый период)</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Среднее значение показателя за период исследования, дн.</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оборота материальных запасов</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39</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32</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оборота дебиторской задолженности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59</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63</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61</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Период оборота кредиторской задолженности</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Затратный цикл</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98</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96</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97</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Кредитный цикл</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w:t>
            </w:r>
          </w:p>
        </w:tc>
      </w:tr>
      <w:tr w:rsidR="00D76515" w:rsidRPr="00D76515" w:rsidTr="00D76515">
        <w:trPr>
          <w:tblCellSpacing w:w="15" w:type="dxa"/>
        </w:trPr>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Чистый цикл</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55</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52</w:t>
            </w:r>
          </w:p>
        </w:tc>
        <w:tc>
          <w:tcPr>
            <w:tcW w:w="125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54</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Период оборота материальных запасов по состоянию на 31.12.2016 г. 32 дн. Это ниже среднего. В отчетном периоде материальные запасы обновлялись быстрее, чем обычно. Изменение периода оборота -17,95%. По сравнению со значением на 31.12.2015 г. показатель сократился. На 31.12.2015 г. оборот запасов длился 39 дн. (дольше среднего).</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 xml:space="preserve">Период оборота дебиторской задолженности 63 дн. (на 31.12.2016 г.). Это дольше, чем в других периодах. Покупатели  задерживали оплату по своим обязательствам перед обществом на более длительный срок. Необходимо ужесточить порядок взыскания дебиторской задолженности и пересмотреть условия отсрочки платежа. Относительно значения на 31.12.2015 г. продолжительность оборота этой </w:t>
      </w:r>
      <w:r w:rsidRPr="00D76515">
        <w:rPr>
          <w:rFonts w:ascii="Georgia" w:eastAsia="Times New Roman" w:hAnsi="Georgia" w:cs="Times New Roman"/>
          <w:color w:val="333333"/>
          <w:sz w:val="24"/>
          <w:szCs w:val="24"/>
          <w:lang w:eastAsia="ru-RU"/>
        </w:rPr>
        <w:lastRenderedPageBreak/>
        <w:t>задолженности увеличилась (темп изменения 6,78%). На 31.12.2015 г. оборот дебиторки длился 59 дн. (быстрее среднего).</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Период оборота кредиторской задолженности 44 дн. (на 31.12.2016 г.). Это больше среднего. Общество дольше обычного расплачивалась с поставщиками и подрядчиками в отчетном периоде. Нужно выяснить причины задержек и усилить контроль погашения срочных долгов. Иначе появятся проблемы с кредиторами. Изменение периода оборота задолженности 2,33% – показатель увеличился. На 31.12.2015 г. оборот кредиторки длился 43 дн. (меньше среднего).</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Период оборота прочих краткосрочных обязательств на 31.12.2016 г. составил 0 дн. Это соответствует среднему. Общество оплачивала прочие краткосрочные обязательства в те же сроки, что и в большинстве других периодов. Изменение периода оборота этих обязательств 0,00%. По сравнению со значением на 31.12.2015 г. показатель не изменился. На 31.12.2015 г. период оборота прочих краткосрочных долгов длился 0 дн. (в пределах среднего).</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Затратный цикл 96 дн. (на 31.12.2016 г.). В отчетном периоде он короче, чем в большинстве других периодов. Причиной может быть – более быстрое обновление материальных запасов и прочих оборотных активов и (или) оперативное погашение дебиторской задолженности. Относительно значения на 31.12.2015 г. этот индикатор сократился (темп изменения -2,04%). На 31.12.2015 г. он составил 98 дн. (выше среднего).</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Кредитный цикл 44 дн. (на 31.12.2016 г.). Это больше среднего. В отчетном периоде общество оплачивала обязательства перед поставщиками и подрядчиками дольше, чем обычно. По сравнению со значением на 31.12.2015 г. продолжительность кредитного цикла увеличилась (2,33%). На 31.12.2015 г. он составил 43 дн. (ниже среднего).</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Чистый цикл 52 дн. (на 31.12.2016 г.). Показатель меньше, чем в предыдущих периодах. Это может быть вызвано ускоренным обновлением материальных запасов и прочих оборотных активов и (или) оперативной оплатой дебиторки. Или же более медленным погашением кредиторской задолженности, чем в предыдущих периодах. Или же всеми указанными факторами одновременно. Изменение чистого цикла -5,45% – показатель сократился. В базовом периоде (на 31.12.2015 г.) чистый цикл длился 55 дн.</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Оценка деловой активности показала, что на последнюю отчетную дату чистый цикл работы общества 52,00 дн. Скорость оборота активов ниже, чем скорость оборота кредиторки и прочих краткосрочных обязательств. Основная деятельность финансируется за счет собственного капитала.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i/>
          <w:iCs/>
          <w:color w:val="333333"/>
          <w:sz w:val="24"/>
          <w:szCs w:val="24"/>
          <w:lang w:eastAsia="ru-RU"/>
        </w:rPr>
        <w:t>5.Оценка рентабельности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Анализ эффективности деятельности включает оценку девяти видов рентабельности.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6. Оценка изменений показателей рентабельности,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022"/>
        <w:gridCol w:w="1824"/>
        <w:gridCol w:w="1824"/>
        <w:gridCol w:w="1825"/>
        <w:gridCol w:w="1980"/>
      </w:tblGrid>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рентабельности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31.12.2015 г. (базовый </w:t>
            </w:r>
            <w:r w:rsidRPr="00D76515">
              <w:rPr>
                <w:rFonts w:ascii="inherit" w:eastAsia="Times New Roman" w:hAnsi="inherit" w:cs="Times New Roman"/>
                <w:color w:val="333333"/>
                <w:sz w:val="24"/>
                <w:szCs w:val="24"/>
                <w:lang w:eastAsia="ru-RU"/>
              </w:rPr>
              <w:lastRenderedPageBreak/>
              <w:t>период)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 xml:space="preserve">31.12.2016 г. (отчетный </w:t>
            </w:r>
            <w:r w:rsidRPr="00D76515">
              <w:rPr>
                <w:rFonts w:ascii="inherit" w:eastAsia="Times New Roman" w:hAnsi="inherit" w:cs="Times New Roman"/>
                <w:color w:val="333333"/>
                <w:sz w:val="24"/>
                <w:szCs w:val="24"/>
                <w:lang w:eastAsia="ru-RU"/>
              </w:rPr>
              <w:lastRenderedPageBreak/>
              <w:t>период)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Темп изменения показателя, %</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 чем говорит показатель</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Рентабельность продаж</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-36,80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-31,64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14,02</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которую принес каждый рубль затрат, связанных с реализацией продукции</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собственного капитала</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-10,59</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4,94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146,65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полученная на рубль стоимости собственного капитала</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акционерного капитала</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-38,83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19,28</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149,65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полученная на рубль стоимости акционерного капитала</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оборотных активов</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-6,44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2,74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142,55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чистой прибыли, которая приходится на один рубль оборотных средств</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производственных фондов</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-0,79</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0,56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170,89</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на рубль стоимости основных средств, участвующих в производстве продукции (основной деятельности)</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всех активов</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-0,73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0,50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168,49</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на рубль стоимости имущества</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финансовых вложений</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на рубль финансовых вложений</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основной деятельности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0,86</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166,15</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Доля прибыли до налогообложения, которую дает каждый рубль затрат</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производства</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-36,80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-31,64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14,02</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Доля валовой прибыли, которую дает каждый рубль затрат на </w:t>
            </w:r>
            <w:r w:rsidRPr="00D76515">
              <w:rPr>
                <w:rFonts w:ascii="inherit" w:eastAsia="Times New Roman" w:hAnsi="inherit" w:cs="Times New Roman"/>
                <w:color w:val="333333"/>
                <w:sz w:val="24"/>
                <w:szCs w:val="24"/>
                <w:lang w:eastAsia="ru-RU"/>
              </w:rPr>
              <w:lastRenderedPageBreak/>
              <w:t>производство и реализацию продукции (услуг)</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6а. Динамика показателей рентабельности,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3163"/>
        <w:gridCol w:w="3148"/>
        <w:gridCol w:w="3164"/>
      </w:tblGrid>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Показатель рентабельности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31.12.2015 г. (базовый период)</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31.12.2016 г. (отчетный период)</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продаж</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-36,80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-31,64</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собственного капитала</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-10,59</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4,94</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акционерного капитала</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-38,83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19,28</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оборотных активов</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-6,44</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2,74</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производственных фондов</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-0,79</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0,56</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всех активов</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-0,73</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0,50</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финансовых вложений</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основной деятельности</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0,86</w:t>
            </w:r>
          </w:p>
        </w:tc>
      </w:tr>
      <w:tr w:rsidR="00D76515" w:rsidRPr="00D76515" w:rsidTr="00D76515">
        <w:trPr>
          <w:tblCellSpacing w:w="15" w:type="dxa"/>
        </w:trPr>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Рентабельность производства</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-36,80</w:t>
            </w:r>
          </w:p>
        </w:tc>
        <w:tc>
          <w:tcPr>
            <w:tcW w:w="100" w:type="pc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-31,64</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Рентабельность продаж -31,64% (на 31.12.2016 г.) при средней по отрасли 0%. В этом периоде деятельность общества убыточна. Такой показатель рентабельности может быть основанием для налоговой проверки. Изменение рентабельности продаж 14,02% – показатель вырос. В базовом периоде (на 31.12.2015 г.) он составлял -36,80% (убыток от продаж).</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Рентабельность активов 0,50 (на 31.12.2016 г.). Рентабельность имущества  в отчетном периоде ниже средней по отрасли. Это может быть основанием для налоговой проверки, нужно оценить этот риск. Ее средняя величина по отрасли 2%. По сравнению с 31.12.2015 г. рентабельность имущества увеличилась (168,49%). На 31.12.2015 г. показатель составлял -0,73% (убыток).</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Анализ бухгалтерской (финансовой) отчетности АО "Намкоммунтеплоэнерго" за 2016 год.</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Анализ имущества Общества</w:t>
      </w:r>
      <w:r w:rsidRPr="00D76515">
        <w:rPr>
          <w:rFonts w:ascii="Georgia" w:eastAsia="Times New Roman" w:hAnsi="Georgia" w:cs="Times New Roman"/>
          <w:color w:val="333333"/>
          <w:sz w:val="24"/>
          <w:szCs w:val="24"/>
          <w:lang w:eastAsia="ru-RU"/>
        </w:rPr>
        <w:t>. В соответствии с данными баланса общая стоимость имущества Общества на 31.12.2016 г. составляет 801 971 тыс.рублей. Внеоборотные активы составляют 683 795 тыс.рублей, стоимость оборотных активов 118 176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7                                                                                                                                                       тыс.руб.</w:t>
      </w:r>
    </w:p>
    <w:tbl>
      <w:tblPr>
        <w:tblW w:w="1131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1970"/>
        <w:gridCol w:w="570"/>
        <w:gridCol w:w="810"/>
        <w:gridCol w:w="901"/>
        <w:gridCol w:w="810"/>
        <w:gridCol w:w="901"/>
        <w:gridCol w:w="810"/>
        <w:gridCol w:w="901"/>
        <w:gridCol w:w="1135"/>
        <w:gridCol w:w="630"/>
        <w:gridCol w:w="1090"/>
        <w:gridCol w:w="1135"/>
        <w:gridCol w:w="630"/>
        <w:gridCol w:w="1105"/>
      </w:tblGrid>
      <w:tr w:rsidR="00D76515" w:rsidRPr="00D76515" w:rsidTr="00D76515">
        <w:trPr>
          <w:tblCellSpacing w:w="15" w:type="dxa"/>
        </w:trPr>
        <w:tc>
          <w:tcPr>
            <w:tcW w:w="2370" w:type="dxa"/>
            <w:vMerge w:val="restar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Наименование показателя</w:t>
            </w:r>
          </w:p>
        </w:tc>
        <w:tc>
          <w:tcPr>
            <w:tcW w:w="570" w:type="dxa"/>
            <w:vMerge w:val="restar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код</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31.12. 2016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к валюте баланса</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31.12. 2015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к валюте баланса</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31.12. 2014</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к валюте баланса</w:t>
            </w:r>
          </w:p>
        </w:tc>
        <w:tc>
          <w:tcPr>
            <w:tcW w:w="1935" w:type="dxa"/>
            <w:gridSpan w:val="3"/>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горизонтальный анализ за 2016</w:t>
            </w:r>
          </w:p>
        </w:tc>
        <w:tc>
          <w:tcPr>
            <w:tcW w:w="1845" w:type="dxa"/>
            <w:gridSpan w:val="3"/>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горизонтальный анализ за 2015</w:t>
            </w:r>
          </w:p>
        </w:tc>
      </w:tr>
      <w:tr w:rsidR="00D76515" w:rsidRPr="00D76515" w:rsidTr="00D76515">
        <w:trPr>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изменение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темп прироста</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изменение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темп прироста</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Актив</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I. Внеоборотные активы</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Основные средства, в том числе</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1150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683795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85,26</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689698</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88,64</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474260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80,28</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-5903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-3,38</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215438</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8,36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45,4</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основные средства в организации</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368832</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45,99</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282782</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36,34</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147925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86050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9,65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30,4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134857</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36,34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объекты недвижимости, права собственности на которые не зарегистрированы</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313241</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39,06</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404837</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52,03</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325086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-91596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-12,97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-22,6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79751</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52,03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оборудование к установке</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817</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0,10</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0,04</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1130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501</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158,5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-814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строительство объектов основных средств</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905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0,11</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1763</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0,23</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119</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-858</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-0,11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-48,7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1644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0,23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Итого по разделу I</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1100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683795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85,26</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689698</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88,64</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474260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80,28</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-5903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-3,38</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215438</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8,36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45,4</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II. Оборотные активы</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Запасы</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1210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26801</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3,34</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29561</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3,80</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37304</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6,31</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-2760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-0,46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-9,3</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-7743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-2,52</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-20,8</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Налог на добавленную стоимость по приобретенным ценностям</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1220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0,01</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204</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182</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22</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0,00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Дебиторская задолженность</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1230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65291</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8,14</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44275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5,69</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54716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9,26</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21016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2,45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47,5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-10441</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-3,57</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-19,1</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Денежные </w:t>
            </w:r>
            <w:r w:rsidRPr="00D76515">
              <w:rPr>
                <w:rFonts w:ascii="inherit" w:eastAsia="Times New Roman" w:hAnsi="inherit" w:cs="Times New Roman"/>
                <w:color w:val="333333"/>
                <w:sz w:val="24"/>
                <w:szCs w:val="24"/>
                <w:lang w:eastAsia="ru-RU"/>
              </w:rPr>
              <w:lastRenderedPageBreak/>
              <w:t>средства и денежные эквиваленты, в том числе</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1250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25586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3,19</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13927</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1,79</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23933</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4,05</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11659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1,40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83,7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-10006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-2,26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-41,8</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касса организации</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0,00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расчетный счет</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25576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13922</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23927</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11654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83,7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-10005</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0,00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Прочие оборотные активы</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1260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403</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0,05</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389</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0,05</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340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0,05</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14,4</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Итого по разделу II</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1200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118176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14,74</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88356</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11,36</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116475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19,72</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29820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3,38</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33,7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-28119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-8,36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-24,1</w:t>
            </w:r>
          </w:p>
        </w:tc>
      </w:tr>
      <w:tr w:rsidR="00D76515" w:rsidRPr="00D76515" w:rsidTr="00D76515">
        <w:trPr>
          <w:tblCellSpacing w:w="15" w:type="dxa"/>
        </w:trPr>
        <w:tc>
          <w:tcPr>
            <w:tcW w:w="23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БАЛАНС</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1600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801971</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100</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778054</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100</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590735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100</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23917</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187319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31,7</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При анализе актива баланса общая величина активов в отчетном периоде по сравнению с данными на 31.12.2015 увеличилась. Валюта баланса на 31.12.2016 составляет 801 971 тыс.рублей,  за отчетный период увеличилась на 23917 тыс.рублей, темп прироста 3,1%. Резких изменений в величине отдельных статей внеоборотных активов предприятия не наблюдается. Уменьшение  стоимости внеоборотных активов составило на 5 903 тыс.рублей, темп прироста 3,38%. Доля внеоборотных активов к валюте баланса составляет более 85,24 (уменьшилась на 3,38 % по сравнению с предыдущим периодом).</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Оборотные активы Общества увеличились на 29 820 тыс.рублей за счет увеличения дебиторской задолженности и денежных средств на расчетном счете. Данные показатели увеличились вследствие увеличения тарифов.  Остаток денежных средств и денежных эквивалентов составляет 25 586 тыс.рублей, по сравнению с предыдущим периодом изменение составило 11654 тыс.рублей, изменение на 1,4% к валюте баланса. Доля оборотных средств к валюте баланса составляет 14,74% (увеличилась на 3,38 % по сравнению с предыдущим периодом).</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Наибольший удельный вес в структуре совокупных активов приходится на внеоборотные активы (85,24%), что подтверждает о низкомобильной структуре активов и способствует снижению оборачиваемости средств.</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Положительной тенденцией является абсолютное и относительное увеличение  денежных средств Общества за отчетный период.</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Дебиторская задолженность на 31.12.2016 составила 65291 тыс.рублей. Структура дебиторской задолженности с учетом авансов полученных от покупателей и заказчиков приведена в нижеприведенной таблице.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Анализ состава и структуры дебиторской задолженности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Таблица 8                                                                                                                                  тыс.руб.</w:t>
      </w:r>
    </w:p>
    <w:tbl>
      <w:tblPr>
        <w:tblW w:w="978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3513"/>
        <w:gridCol w:w="1862"/>
        <w:gridCol w:w="1847"/>
        <w:gridCol w:w="2558"/>
      </w:tblGrid>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Вид дебиторской задолженности</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начало периода, тыс.рублей</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конец периода, тыс.рублей</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изменения за отчетный период, тыс.рублей</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поставщиками</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6 681,60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3 403,00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3 278,60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покупателями и заказчиками</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24 104,00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41 007,00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16 903,00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Резервы по сомнительным долгам</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-5 712,00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5 712,00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бюджетом налог на прибыль</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682,00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682,00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Налог на имущество</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12 445,40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12 447,00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1,60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Водный налог</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49,90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46,00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3,90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ФСС</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14,10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140,00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125,90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подотчетными лицами</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325,10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392,00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66,90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 предоставленным займам</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13,42</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13,42</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по возмещению ущерба</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5,00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9,00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по претензиям</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12,30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67,00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54,70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прочими операциями</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102,00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102,00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прочими Дт и Кт</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179,30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12 934,00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12 754,70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разными Дт и Кт</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-236,90</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451,00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687,90</w:t>
            </w:r>
          </w:p>
        </w:tc>
      </w:tr>
      <w:tr w:rsidR="00D76515" w:rsidRPr="00D76515" w:rsidTr="00D76515">
        <w:trPr>
          <w:tblCellSpacing w:w="15" w:type="dxa"/>
        </w:trPr>
        <w:tc>
          <w:tcPr>
            <w:tcW w:w="3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Всего</w:t>
            </w:r>
          </w:p>
        </w:tc>
        <w:tc>
          <w:tcPr>
            <w:tcW w:w="18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44 275,22</w:t>
            </w:r>
          </w:p>
        </w:tc>
        <w:tc>
          <w:tcPr>
            <w:tcW w:w="184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65 291,00</w:t>
            </w:r>
          </w:p>
        </w:tc>
        <w:tc>
          <w:tcPr>
            <w:tcW w:w="25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21 015,78</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Основная доля дебиторской задолженности относится к расчетам с покупателями из местного бюджета 28443,7 т.р. (в том числе поселения 3613,6 т.р.), федерального бюджета 3616,8 т.р., прочие - 3717,0 т.р., население по квартплате 5038,0 т.р., в том числе просроченная дебиторская задолженность составила 6647,0 тыс.рублей (МО "Намский улус" КСК-2752,3 тыс.рублей). Согласно перечня, утвержденного Постановлением Правительства РС(Я) №467 от 23.11.2015, произведена корректировка декларации по налогу на имущество за 2014-2015 годы, вследствие чего образовалась дебиторская задолженность по налогу на имущество на сумму 12447 тыс.рублей. Также большую долю дебиторской задолженности занимают расчеты с прочими дебиторами (субсидия на возмещение недополученных доходам организациям в сумме 12 933,9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 xml:space="preserve">Размер дебиторской задолженности за анализируемый период увеличился на 21015,78 тыс.рублей,  в составе дебиторской задолженности  просроченная задолженность составляет более 10%, что является негативным изменением и </w:t>
      </w:r>
      <w:r w:rsidRPr="00D76515">
        <w:rPr>
          <w:rFonts w:ascii="Georgia" w:eastAsia="Times New Roman" w:hAnsi="Georgia" w:cs="Times New Roman"/>
          <w:color w:val="333333"/>
          <w:sz w:val="24"/>
          <w:szCs w:val="24"/>
          <w:lang w:eastAsia="ru-RU"/>
        </w:rPr>
        <w:lastRenderedPageBreak/>
        <w:t>вызвано тем, что существует проблема оплаты потребителями за оказанные коммунальные услуги.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Оценка собственных и привлеченных средств, вложенных в имущество Общества.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Структура пассива баланса отражена в таблице 4.</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9                                                                                                                                    тыс.руб.</w:t>
      </w:r>
    </w:p>
    <w:tbl>
      <w:tblPr>
        <w:tblW w:w="1134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002"/>
        <w:gridCol w:w="570"/>
        <w:gridCol w:w="810"/>
        <w:gridCol w:w="901"/>
        <w:gridCol w:w="810"/>
        <w:gridCol w:w="901"/>
        <w:gridCol w:w="810"/>
        <w:gridCol w:w="901"/>
        <w:gridCol w:w="1135"/>
        <w:gridCol w:w="510"/>
        <w:gridCol w:w="1090"/>
        <w:gridCol w:w="1135"/>
        <w:gridCol w:w="630"/>
        <w:gridCol w:w="1105"/>
      </w:tblGrid>
      <w:tr w:rsidR="00D76515" w:rsidRPr="00D76515" w:rsidTr="00D76515">
        <w:trPr>
          <w:tblCellSpacing w:w="15" w:type="dxa"/>
        </w:trPr>
        <w:tc>
          <w:tcPr>
            <w:tcW w:w="2550" w:type="dxa"/>
            <w:vMerge w:val="restar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Наименование показателя</w:t>
            </w:r>
          </w:p>
        </w:tc>
        <w:tc>
          <w:tcPr>
            <w:tcW w:w="540" w:type="dxa"/>
            <w:vMerge w:val="restart"/>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код</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31.12. 2016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к валюте баланса</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31.12. 2015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к валюте баланса</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31.12. 2014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к валюте баланса</w:t>
            </w:r>
          </w:p>
        </w:tc>
        <w:tc>
          <w:tcPr>
            <w:tcW w:w="2130" w:type="dxa"/>
            <w:gridSpan w:val="3"/>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горизонтальный анализ за 2016</w:t>
            </w:r>
          </w:p>
        </w:tc>
        <w:tc>
          <w:tcPr>
            <w:tcW w:w="1845" w:type="dxa"/>
            <w:gridSpan w:val="3"/>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горизонтальный анализ за 2015</w:t>
            </w:r>
          </w:p>
        </w:tc>
      </w:tr>
      <w:tr w:rsidR="00D76515" w:rsidRPr="00D76515" w:rsidTr="00D76515">
        <w:trPr>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изменение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темп прироста</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изменение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темп прироста</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Пассив</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III. Капитал и резервы</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Уставный капитал (складочный капитал, уставный фонд, вклады товарищей)</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1310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14661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1,83</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14661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2,12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-0,29</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14561</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2,10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14561,0</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Нераспределенная прибыль (непокрытый убыток)</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1370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27181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3,39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24362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3,13</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30055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5,09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2819</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0,26</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11,6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-5693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-1,96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-18,9</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Итого по разделу III</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1300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41842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5,22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39023</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5,02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30155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5,10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2819</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0,20</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7,2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8868</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-0,09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29,4</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IV. Долгосрочные обязательства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Заемные средства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1410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200000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24,94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200000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25,71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150000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25,39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-0,77</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50000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0,31</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33,3</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Прочие обязательства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1450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500311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62,39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491986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63,23</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352666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59,70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8325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-0,85</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139320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3,53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39,5</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имущество по концессионному соглашению</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500311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62,39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491986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63,23</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349702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8325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-0,85</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1,7</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142284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63,23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ГУП ЖКХ</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2964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#ДЕЛ/0!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-2964</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0,00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Итого по разделу IV</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1400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700311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87,32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691986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88,94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502666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85,09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8325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-1,61</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189320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3,85</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37,7</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V. Краткосрочные обязательства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Заемные средства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1510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Кредиторская задолженность</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1520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44489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5,55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32294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4,15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43600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7,38</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12195</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1,40</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37,8</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-11306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-3,23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-25,9</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Оценочные обязательства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1540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15329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1,91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14751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1,90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14314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2,42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578</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0,02</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3,9</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437</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-0,53</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Прочие обязательства</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1550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i/>
                <w:iCs/>
                <w:color w:val="333333"/>
                <w:sz w:val="24"/>
                <w:szCs w:val="24"/>
                <w:lang w:eastAsia="ru-RU"/>
              </w:rPr>
              <w:t>0,00</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Итого по разделу V</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1500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59818</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7,46</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47045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6,05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57914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9,80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12773</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1,41</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27,2</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-10869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-3,76</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-18,8</w:t>
            </w:r>
          </w:p>
        </w:tc>
      </w:tr>
      <w:tr w:rsidR="00D76515" w:rsidRPr="00D76515" w:rsidTr="00D76515">
        <w:trPr>
          <w:tblCellSpacing w:w="15" w:type="dxa"/>
        </w:trPr>
        <w:tc>
          <w:tcPr>
            <w:tcW w:w="25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БАЛАНС</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1700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801971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778054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590735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100</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23917</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3,1</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187319</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i/>
                <w:iCs/>
                <w:color w:val="333333"/>
                <w:sz w:val="24"/>
                <w:szCs w:val="24"/>
                <w:lang w:eastAsia="ru-RU"/>
              </w:rPr>
              <w:t> </w:t>
            </w:r>
          </w:p>
        </w:tc>
        <w:tc>
          <w:tcPr>
            <w:tcW w:w="57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31,7</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 части пассивов увеличение валюты баланса произошло за счет увеличения  имущества по концессионному соглашению и увеличению кредиторской задолженности.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Источники формирования активов подразделяются на обязательства и  собственные.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Собственные: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-Показатель нераспределенной прибыли увеличился  на 2819 т.р. и составляет 27181 тыс.рублей, изменение доли к валюте баланса составляет 0,26 и составило 3,39%.</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Доля собственных источников формирования активов в валюте баланса, при этом,  не изменилась и составляет лишь 5,22%.</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Обязательства</w:t>
      </w:r>
      <w:r w:rsidRPr="00D76515">
        <w:rPr>
          <w:rFonts w:ascii="Georgia" w:eastAsia="Times New Roman" w:hAnsi="Georgia" w:cs="Times New Roman"/>
          <w:b/>
          <w:bCs/>
          <w:color w:val="333333"/>
          <w:sz w:val="24"/>
          <w:szCs w:val="24"/>
          <w:lang w:eastAsia="ru-RU"/>
        </w:rPr>
        <w:t>:</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-Долгосрочные обязательства составляют 88,94%, краткосрочные обязательства – 6,05%. Показатель долгосрочных обязательств не изменился,  на конец периода составило 200 000 т.р. Увеличились  прочие обязательства на 8325 т.р. (имущество по концессионному соглашению с учетом поступления).  За 2016 год на основании  дополнительных соглашений к концессионному соглашению от 03.11.2016 и 15.11.2016  включены объекты муниципального имущества на сумму  8843,9 тыс.рублей,  следует отметить, что поступление обеспечения исполнения контрактов аккумулированы на счете 76.09 за 2016 год  518,6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-За отчетный период  заемные средства в краткосрочных обязательствах отсутствуют,  увеличилась доля кредиторской задолженности. За отчетный период долгосрочные пассивы превышают краткосрочные на 640493 тыс.рублей, что говорит о неплохой финансовой устойчивости, хотя при приближении срока возврата заемных средств данный показатель  уменьшится.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Кредиторская задолженность на 31.12.2016 составила 44489 тыс.рублей,  структура задолженности отражена  в нижеприведенной таблице.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Анализ состава и структуры кредиторской задолженности</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Таблица 10                                                                                                                                         тыс.руб</w:t>
      </w:r>
    </w:p>
    <w:tbl>
      <w:tblPr>
        <w:tblW w:w="978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3107"/>
        <w:gridCol w:w="2258"/>
        <w:gridCol w:w="2130"/>
        <w:gridCol w:w="2285"/>
      </w:tblGrid>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Вид кредиторской задолженности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начало периода, тыс.рублей</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 конец периода, тыс.рублей</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изменения за отчетный период, тыс.рублей</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поставщиками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16 498,40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14 976,00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1 522,40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покупателями и заказчиками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3 882,90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2 377,00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1 505,90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НДФЛ</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41,30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2 089,00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xml:space="preserve">                          2 </w:t>
            </w:r>
            <w:r w:rsidRPr="00D76515">
              <w:rPr>
                <w:rFonts w:ascii="inherit" w:eastAsia="Times New Roman" w:hAnsi="inherit" w:cs="Times New Roman"/>
                <w:color w:val="333333"/>
                <w:sz w:val="24"/>
                <w:szCs w:val="24"/>
                <w:lang w:eastAsia="ru-RU"/>
              </w:rPr>
              <w:lastRenderedPageBreak/>
              <w:t>047,70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Задолженность по налогам и сборам</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5 737,20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16 866,60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11 129,40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персоналом по оплате труда</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5 592,40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7 336,40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1 744,00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подотчетными лицами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52,50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54,00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1,50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по прочим операциям</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226,20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287,00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60,80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разными поставщ-ми и подряд-ми</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43,80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78,00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34,20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Расчеты с разными Дт и Кт</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638,60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614,00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24,60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Алименты</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172,30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174,00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1,70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прочие обязательства</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592,30</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363,00</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229,30</w:t>
            </w:r>
          </w:p>
        </w:tc>
      </w:tr>
      <w:tr w:rsidR="00D76515" w:rsidRPr="00D76515" w:rsidTr="00D76515">
        <w:trPr>
          <w:tblCellSpacing w:w="15" w:type="dxa"/>
        </w:trPr>
        <w:tc>
          <w:tcPr>
            <w:tcW w:w="313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Всего:</w:t>
            </w:r>
          </w:p>
        </w:tc>
        <w:tc>
          <w:tcPr>
            <w:tcW w:w="226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32 293,30   </w:t>
            </w:r>
          </w:p>
        </w:tc>
        <w:tc>
          <w:tcPr>
            <w:tcW w:w="213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44 489,00   </w:t>
            </w:r>
          </w:p>
        </w:tc>
        <w:tc>
          <w:tcPr>
            <w:tcW w:w="225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                        12 195,70   </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 </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Из таблицы видно, что основная доля кредиторской задолженности относится к расчету с поставщиками (МКУ КУМИ - 2201,1 тыс.рублей, ОАО "Сахатранснефтегаз"- 7384,1 тыс.рублей, ООО КоТеСС-1695,8 тыс.рублей, ПАО "Якутскэнерго"- 2272,9 тыс.рублей), задолженность по налогам и сборам (НДС -10848,0 тыс.рублей, налог на прибыль 1146 т.р., транспортный налог - 382 тыс.рублей, земельный налог 2,2 тыс.рублей, страх.взносы в ПФ, ФСС, ФФОМС на 4487,0 тыс.рублей), а также задолженность перед персоналом по оплате труда 7336,4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Размер кредиторской задолженности за анализируемый период увеличился на 12195,7 тыс.рублей. Следует отметить, что дебиторская задолженность предприятия на 31.12.2016 имеет активное сальдо (дебиторская задолженность больше кредиторской).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Анализ финансовых результатов</w:t>
      </w:r>
    </w:p>
    <w:tbl>
      <w:tblPr>
        <w:tblW w:w="1000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4099"/>
        <w:gridCol w:w="712"/>
        <w:gridCol w:w="1381"/>
        <w:gridCol w:w="1310"/>
        <w:gridCol w:w="1312"/>
        <w:gridCol w:w="1191"/>
      </w:tblGrid>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Таблица 11</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Наименование показателя</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код</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за январь-декабрь 2016</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за январь-декабрь 2015</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изменение</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темп прироста</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Выручка</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2110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318064</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276130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41934</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15,19</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Себестоимость продаж</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2120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-464699</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-436915</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-27784</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6,36</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Валовая прибыль (убыток)</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2100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-146635</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-160785</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14150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-8,80</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Коммерческие расходы</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2210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Управленческие расходы</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2220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lastRenderedPageBreak/>
              <w:t>Прибыль (убыток) от продаж</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2200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-146635</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-160785</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14150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-8,80</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Доходы от участия в других организациях</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2310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Проценты к получению</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2320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Проценты к уплате</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2330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-26557</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-26557</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Прочие доходы</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2340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199195</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176772</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22423</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12,68</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Прочие расходы</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2350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-22014</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-21680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-334</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1,54</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Прибыль (убыток) до налогообложения</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2300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3989</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-5693</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9682</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-170,07</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Текущий налог на прибыль</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2410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-1170</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-1170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в т.ч. постоянные налоговые обязательства (активы)</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2421</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0,00</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Изменение отложенных налоговых обязательств</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2430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Изменение отложенных налоговых активов</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2450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Прочее</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2460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0</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 </w:t>
            </w:r>
          </w:p>
        </w:tc>
      </w:tr>
      <w:tr w:rsidR="00D76515" w:rsidRPr="00D76515" w:rsidTr="00D76515">
        <w:trPr>
          <w:tblCellSpacing w:w="15" w:type="dxa"/>
        </w:trPr>
        <w:tc>
          <w:tcPr>
            <w:tcW w:w="418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Чистая прибыль (убыток)</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2400</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2819</w:t>
            </w:r>
          </w:p>
        </w:tc>
        <w:tc>
          <w:tcPr>
            <w:tcW w:w="130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b/>
                <w:bCs/>
                <w:color w:val="333333"/>
                <w:sz w:val="24"/>
                <w:szCs w:val="24"/>
                <w:lang w:eastAsia="ru-RU"/>
              </w:rPr>
              <w:t>-5693</w:t>
            </w:r>
          </w:p>
        </w:tc>
        <w:tc>
          <w:tcPr>
            <w:tcW w:w="1290"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8512</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D76515" w:rsidRPr="00D76515" w:rsidRDefault="00D76515" w:rsidP="00D76515">
            <w:pPr>
              <w:spacing w:after="0" w:line="240" w:lineRule="auto"/>
              <w:rPr>
                <w:rFonts w:ascii="inherit" w:eastAsia="Times New Roman" w:hAnsi="inherit" w:cs="Times New Roman"/>
                <w:color w:val="333333"/>
                <w:sz w:val="24"/>
                <w:szCs w:val="24"/>
                <w:lang w:eastAsia="ru-RU"/>
              </w:rPr>
            </w:pPr>
            <w:r w:rsidRPr="00D76515">
              <w:rPr>
                <w:rFonts w:ascii="inherit" w:eastAsia="Times New Roman" w:hAnsi="inherit" w:cs="Times New Roman"/>
                <w:color w:val="333333"/>
                <w:sz w:val="24"/>
                <w:szCs w:val="24"/>
                <w:lang w:eastAsia="ru-RU"/>
              </w:rPr>
              <w:t>-149,51</w:t>
            </w:r>
          </w:p>
        </w:tc>
      </w:tr>
    </w:tbl>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Выручка за отчетный период составила 318 064 т.р., по сравнению с прошлым годом увеличилась на 41,9 т.р., тем прироста составил 15,19%, за счет изменения тарифов. При этом, плановые показатели выручки не достигнуты на сумму 31 631,8 т.р. в связи с установкой приборов учета, за счет корректировки объемов зданий, за счет отключения объектов. Увеличение показателя себестоимости соответственно увеличился на 6,36 % и составил 464 699 тыс.руб. Рост показателя также  объясняется  увеличением амортизационных отчислений основных средств, переданных по концессионному соглашению и увеличением расходов по оплате труда и начислениям, резервов по предстоящим расходам (отпускные).</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Абсолютный показатель убытка составляет  -146 635 тыс.руб., темп прироста убытка составил 8,85%. За отчетный период произведена оплата процентов по кредитному договору на сумму 26 557 т.р.  Доходы от прочей деятельности увеличились на 22 423 тыс.рублей и составили 199 195 т.р., прирост 12,85%. В составе прочих доходов учтена субсидия на возмещение  недополученных  доходов за отчетный период на сумму 183 747,3 т.р., субсидия на возмещение  процентов с Министерства ЖКХ и Э на сумму 4 408,1 т.р., субсидия на  возмещение части затрат по    приобретению     оборудования на сумму</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1 225,9 т.р. Увеличились  показатели прочих расходов и составили 22 014 т.р., темп прироста составил 1,54%. сумма текущего налога на прибыль составила 1170 тыс.р. Абсолютный показатель прибыли на конец отчетного периода составил 2 819 тыс.рублей.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Выводы:</w:t>
      </w:r>
    </w:p>
    <w:p w:rsidR="00D76515" w:rsidRPr="00D76515" w:rsidRDefault="00D76515" w:rsidP="00D76515">
      <w:pPr>
        <w:numPr>
          <w:ilvl w:val="0"/>
          <w:numId w:val="7"/>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Платежеспособность</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За рассматриваемый период  существенного ухудшения платежеспособности не обнаружено.</w:t>
      </w:r>
    </w:p>
    <w:p w:rsidR="00D76515" w:rsidRPr="00D76515" w:rsidRDefault="00D76515" w:rsidP="00D76515">
      <w:pPr>
        <w:numPr>
          <w:ilvl w:val="0"/>
          <w:numId w:val="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Финансовая устойчивость</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На  отчетную дату показатели финансовой устойчивости низкие.  Нужно принять меры по сокращению обязательств, пересмотреть кредитную политику и чтобы избежать, необходимо ужесточить порядок взыскания дебиторской задолженности, сократить до минимума отсрочку платежа контрагентам. Стоит усилить контроль движения материальных запасов, пересмотреть порядок их учета. При необходимости скорректировать их нормативы, алгоритм списания и пр.</w:t>
      </w:r>
    </w:p>
    <w:p w:rsidR="00D76515" w:rsidRPr="00D76515" w:rsidRDefault="00D76515" w:rsidP="00D76515">
      <w:pPr>
        <w:numPr>
          <w:ilvl w:val="0"/>
          <w:numId w:val="9"/>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Чистые активы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Сумма чистых активов 41 842,00 тыс. руб. Это выше уставного капитала (14 661 тыс. руб.).</w:t>
      </w:r>
    </w:p>
    <w:p w:rsidR="00D76515" w:rsidRPr="00D76515" w:rsidRDefault="00D76515" w:rsidP="00D76515">
      <w:pPr>
        <w:numPr>
          <w:ilvl w:val="0"/>
          <w:numId w:val="1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Вероятность банкротства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Вероятность банкротства свыше 50%. Имеются серьезные проблемы с погашением обязательств. Ситуация кризисная. Нужны срочные антикризисные меры.</w:t>
      </w:r>
    </w:p>
    <w:p w:rsidR="00D76515" w:rsidRPr="00D76515" w:rsidRDefault="00D76515" w:rsidP="00D76515">
      <w:pPr>
        <w:numPr>
          <w:ilvl w:val="0"/>
          <w:numId w:val="1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Деловая активность</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Чистый цикл общества 52 дней.</w:t>
      </w:r>
    </w:p>
    <w:p w:rsidR="00D76515" w:rsidRPr="00D76515" w:rsidRDefault="00D76515" w:rsidP="00D76515">
      <w:pPr>
        <w:numPr>
          <w:ilvl w:val="0"/>
          <w:numId w:val="12"/>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Рентабельность</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Рентабельность активов составляет 0,5 %, средняя по отрасли 2,7%.</w:t>
      </w:r>
    </w:p>
    <w:p w:rsidR="00D76515" w:rsidRPr="00D76515" w:rsidRDefault="00D76515" w:rsidP="00D76515">
      <w:pPr>
        <w:numPr>
          <w:ilvl w:val="0"/>
          <w:numId w:val="13"/>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Ключевые активы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Имущество общества  :</w:t>
      </w:r>
    </w:p>
    <w:p w:rsidR="00D76515" w:rsidRPr="00D76515" w:rsidRDefault="00D76515" w:rsidP="00D76515">
      <w:pPr>
        <w:numPr>
          <w:ilvl w:val="0"/>
          <w:numId w:val="14"/>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основные средства – 85,3% в.т.ч. по концессионному соглашению  73,2 %</w:t>
      </w:r>
    </w:p>
    <w:p w:rsidR="00D76515" w:rsidRPr="00D76515" w:rsidRDefault="00D76515" w:rsidP="00D76515">
      <w:pPr>
        <w:numPr>
          <w:ilvl w:val="0"/>
          <w:numId w:val="15"/>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Основные источники финансирования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Пассивы общества:</w:t>
      </w:r>
    </w:p>
    <w:p w:rsidR="00D76515" w:rsidRPr="00D76515" w:rsidRDefault="00D76515" w:rsidP="00D76515">
      <w:pPr>
        <w:numPr>
          <w:ilvl w:val="0"/>
          <w:numId w:val="16"/>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прочие долгосрочные обязательства – 62,4%</w:t>
      </w:r>
    </w:p>
    <w:p w:rsidR="00D76515" w:rsidRPr="00D76515" w:rsidRDefault="00D76515" w:rsidP="00D76515">
      <w:pPr>
        <w:numPr>
          <w:ilvl w:val="0"/>
          <w:numId w:val="16"/>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долгосрочные заемные средства – 24,9%</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numPr>
          <w:ilvl w:val="0"/>
          <w:numId w:val="17"/>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Финансовые результаты</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Финансовые результаты за 2016г.:</w:t>
      </w:r>
    </w:p>
    <w:p w:rsidR="00D76515" w:rsidRPr="00D76515" w:rsidRDefault="00D76515" w:rsidP="00D76515">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чистая прибыль – 2 819 тыс. руб.</w:t>
      </w:r>
    </w:p>
    <w:p w:rsidR="00D76515" w:rsidRPr="00D76515" w:rsidRDefault="00D76515" w:rsidP="00D76515">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убыток от продаж – 146 635 тыс. руб.</w:t>
      </w:r>
    </w:p>
    <w:p w:rsidR="00D76515" w:rsidRPr="00D76515" w:rsidRDefault="00D76515" w:rsidP="00D76515">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объем продаж – 318 064 тыс. руб.</w:t>
      </w:r>
    </w:p>
    <w:p w:rsidR="00D76515" w:rsidRPr="00D76515" w:rsidRDefault="00D76515" w:rsidP="00D76515">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себестоимость – 464 699 тыс. руб.</w:t>
      </w:r>
    </w:p>
    <w:p w:rsidR="00D76515" w:rsidRPr="00D76515" w:rsidRDefault="00D76515" w:rsidP="00D76515">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коммерческие расходы – 0 тыс. руб.</w:t>
      </w:r>
    </w:p>
    <w:p w:rsidR="00D76515" w:rsidRPr="00D76515" w:rsidRDefault="00D76515" w:rsidP="00D76515">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управленческие расходы – 0 тыс. руб.</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numPr>
          <w:ilvl w:val="0"/>
          <w:numId w:val="19"/>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b/>
          <w:bCs/>
          <w:color w:val="333333"/>
          <w:sz w:val="24"/>
          <w:szCs w:val="24"/>
          <w:lang w:eastAsia="ru-RU"/>
        </w:rPr>
        <w:t>Налоговая льгота</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Согласно статьи 3 части 5 пункта 5 Закона РС(Я) «О налоговой политике Республики Саха (Я)»  и заявки применяется  льгота по налогу на имущество. Целью  освобождения от налога является реализация Региональная программа по модернизации системы теплоснабжения муниципального образования «Ленский наслег» Намского улуса РС(Я) на 2013-2015гг. Утвержденная Постановлением Правительства РС(Я) 27.06.2013г.№ 223 и Инвестиционной программы коммунального комплекса АО «Намкоммунтеплоэнерго» на 2013-2017 годы и на период до 2030 года разработана на основании Постановления Правительства РС(Я) от 26.04.2007г. № 171 «Об утверждении Порядка согласования инвестиционных программ регулируемых организаций» и утверждена приказом Министерства жилищно-коммунального хозяйства и энергетики РС(Я) от 02.04.2013г года № 191-п «Об утверждении инвестиционной программы  АО «Намкоммунтеплоэнерго» на 2013-2017 годы и на период до 2030 года». Государственным заказчиком-координатором программы является Министерство жилищно-коммунального хозяйства и энергетики РС(Я).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Цель программ</w:t>
      </w:r>
      <w:r w:rsidRPr="00D76515">
        <w:rPr>
          <w:rFonts w:ascii="Georgia" w:eastAsia="Times New Roman" w:hAnsi="Georgia" w:cs="Times New Roman"/>
          <w:color w:val="333333"/>
          <w:sz w:val="24"/>
          <w:szCs w:val="24"/>
          <w:lang w:eastAsia="ru-RU"/>
        </w:rPr>
        <w:t> - определение перспективного пути развития предприятия на основе повышения рентабельности и эффективности производства и управления.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Задачи программ</w:t>
      </w:r>
      <w:r w:rsidRPr="00D76515">
        <w:rPr>
          <w:rFonts w:ascii="Georgia" w:eastAsia="Times New Roman" w:hAnsi="Georgia" w:cs="Times New Roman"/>
          <w:color w:val="333333"/>
          <w:sz w:val="24"/>
          <w:szCs w:val="24"/>
          <w:lang w:eastAsia="ru-RU"/>
        </w:rPr>
        <w:t>:</w:t>
      </w:r>
    </w:p>
    <w:p w:rsidR="00D76515" w:rsidRPr="00D76515" w:rsidRDefault="00D76515" w:rsidP="00D76515">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Повышение качества оказываемых услуг.</w:t>
      </w:r>
    </w:p>
    <w:p w:rsidR="00D76515" w:rsidRPr="00D76515" w:rsidRDefault="00D76515" w:rsidP="00D76515">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Привлечение инвестиций для технического перевооружения коммунального комплекса.</w:t>
      </w:r>
    </w:p>
    <w:p w:rsidR="00D76515" w:rsidRPr="00D76515" w:rsidRDefault="00D76515" w:rsidP="00D76515">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Снижение удельных расходов энергоресурсов.</w:t>
      </w:r>
    </w:p>
    <w:p w:rsidR="00D76515" w:rsidRPr="00D76515" w:rsidRDefault="00D76515" w:rsidP="00D76515">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Получение экономического эффекта в результате реализации мероприятий программ.</w:t>
      </w:r>
    </w:p>
    <w:p w:rsidR="00D76515" w:rsidRPr="00D76515" w:rsidRDefault="00D76515" w:rsidP="00D76515">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Сокращение себестоимости производства продукции за счет технических и организационных мероприятий.</w:t>
      </w:r>
    </w:p>
    <w:p w:rsidR="00D76515" w:rsidRPr="00D76515" w:rsidRDefault="00D76515" w:rsidP="00D76515">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Увеличение полезного отпуска продукции за счет присоединения новых потребителей.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u w:val="single"/>
          <w:lang w:eastAsia="ru-RU"/>
        </w:rPr>
        <w:t>Основные направления программ</w:t>
      </w:r>
      <w:r w:rsidRPr="00D76515">
        <w:rPr>
          <w:rFonts w:ascii="Georgia" w:eastAsia="Times New Roman" w:hAnsi="Georgia" w:cs="Times New Roman"/>
          <w:color w:val="333333"/>
          <w:sz w:val="24"/>
          <w:szCs w:val="24"/>
          <w:lang w:eastAsia="ru-RU"/>
        </w:rPr>
        <w:t>: техническое перевооружение объектов коммунального комплекса на основе использования энергосберегающих технологий и повышения надежности производственной системы, повышение эффективности системы управления производственной деятельностью предприятия.</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Основные целевые показатели реализации мероприятий программ:</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lastRenderedPageBreak/>
        <w:t>Строительство 34 котельных</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Реконструкция, модернизация 7 котельных</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Комплексный ремонт оборудования 23 котельных.</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Прокладка, замена сетей 44 км.</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Диспетчеризация 53 котельных.</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Снижение теплопотерь в сетях до 6%.</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Снижение удельного расхода топлива до 121,4 кг.у.т./Гкал.</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Снижение удельного расхода электроэнергии до 23Квт/Гкал.</w:t>
      </w:r>
    </w:p>
    <w:p w:rsidR="00D76515" w:rsidRPr="00D76515" w:rsidRDefault="00D76515" w:rsidP="00D76515">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Снижение расходов на собственные нужды до 0,64%.</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r w:rsidRPr="00D76515">
        <w:rPr>
          <w:rFonts w:ascii="Georgia" w:eastAsia="Times New Roman" w:hAnsi="Georgia" w:cs="Times New Roman"/>
          <w:color w:val="333333"/>
          <w:sz w:val="24"/>
          <w:szCs w:val="24"/>
          <w:lang w:eastAsia="ru-RU"/>
        </w:rPr>
        <w:t>Объем средств, высвобождаемых в результате применения   налоговых льгот за период 2015-2026 гг. составил 20 614 тыс.рублей которые  направлены на  увеличение объема инвестиций необходимых для реализации быстроокупаемых мероприятий,  доход от которых  планируем направить для погашения кредитных средств полученных с ОАО «Банк Москвы» согласно кредитному договору №112/15/259-13 от 26.12.2013г. для реализации мероприятий по инвестиционной программе. Обеспечением данного кредита является государственная гарантия Правительства РС(Я)  в сумме 200,0 млн.рублей.</w:t>
      </w: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D76515" w:rsidRPr="00D76515" w:rsidRDefault="00D76515" w:rsidP="00D76515">
      <w:pPr>
        <w:spacing w:before="100" w:beforeAutospacing="1" w:after="100" w:afterAutospacing="1" w:line="240" w:lineRule="auto"/>
        <w:rPr>
          <w:rFonts w:ascii="Georgia" w:eastAsia="Times New Roman" w:hAnsi="Georgia" w:cs="Times New Roman"/>
          <w:color w:val="333333"/>
          <w:sz w:val="24"/>
          <w:szCs w:val="24"/>
          <w:lang w:eastAsia="ru-RU"/>
        </w:rPr>
      </w:pPr>
    </w:p>
    <w:p w:rsidR="008B15F7" w:rsidRDefault="004D7553"/>
    <w:sectPr w:rsidR="008B15F7" w:rsidSect="00584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916"/>
    <w:multiLevelType w:val="multilevel"/>
    <w:tmpl w:val="730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07D02"/>
    <w:multiLevelType w:val="multilevel"/>
    <w:tmpl w:val="11FE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80009"/>
    <w:multiLevelType w:val="multilevel"/>
    <w:tmpl w:val="17C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05C62"/>
    <w:multiLevelType w:val="multilevel"/>
    <w:tmpl w:val="E646A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C0053"/>
    <w:multiLevelType w:val="multilevel"/>
    <w:tmpl w:val="3C283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911A2"/>
    <w:multiLevelType w:val="multilevel"/>
    <w:tmpl w:val="3274D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C5496"/>
    <w:multiLevelType w:val="multilevel"/>
    <w:tmpl w:val="6E925D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86D17"/>
    <w:multiLevelType w:val="multilevel"/>
    <w:tmpl w:val="D99E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0A2191"/>
    <w:multiLevelType w:val="multilevel"/>
    <w:tmpl w:val="DB7E1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471985"/>
    <w:multiLevelType w:val="multilevel"/>
    <w:tmpl w:val="92A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502F4"/>
    <w:multiLevelType w:val="multilevel"/>
    <w:tmpl w:val="17F43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4C2D85"/>
    <w:multiLevelType w:val="multilevel"/>
    <w:tmpl w:val="244E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C27E2"/>
    <w:multiLevelType w:val="multilevel"/>
    <w:tmpl w:val="A4E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27EBD"/>
    <w:multiLevelType w:val="multilevel"/>
    <w:tmpl w:val="FA0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E6E48"/>
    <w:multiLevelType w:val="multilevel"/>
    <w:tmpl w:val="15B66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83463A"/>
    <w:multiLevelType w:val="multilevel"/>
    <w:tmpl w:val="C1D2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1366A0"/>
    <w:multiLevelType w:val="multilevel"/>
    <w:tmpl w:val="98C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77AF9"/>
    <w:multiLevelType w:val="multilevel"/>
    <w:tmpl w:val="DB3ABC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F502E"/>
    <w:multiLevelType w:val="multilevel"/>
    <w:tmpl w:val="7A082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583F84"/>
    <w:multiLevelType w:val="multilevel"/>
    <w:tmpl w:val="63D0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932E14"/>
    <w:multiLevelType w:val="multilevel"/>
    <w:tmpl w:val="041E75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12"/>
  </w:num>
  <w:num w:numId="4">
    <w:abstractNumId w:val="5"/>
  </w:num>
  <w:num w:numId="5">
    <w:abstractNumId w:val="15"/>
  </w:num>
  <w:num w:numId="6">
    <w:abstractNumId w:val="0"/>
  </w:num>
  <w:num w:numId="7">
    <w:abstractNumId w:val="1"/>
  </w:num>
  <w:num w:numId="8">
    <w:abstractNumId w:val="10"/>
  </w:num>
  <w:num w:numId="9">
    <w:abstractNumId w:val="18"/>
  </w:num>
  <w:num w:numId="10">
    <w:abstractNumId w:val="3"/>
  </w:num>
  <w:num w:numId="11">
    <w:abstractNumId w:val="8"/>
  </w:num>
  <w:num w:numId="12">
    <w:abstractNumId w:val="14"/>
  </w:num>
  <w:num w:numId="13">
    <w:abstractNumId w:val="4"/>
  </w:num>
  <w:num w:numId="14">
    <w:abstractNumId w:val="13"/>
  </w:num>
  <w:num w:numId="15">
    <w:abstractNumId w:val="6"/>
  </w:num>
  <w:num w:numId="16">
    <w:abstractNumId w:val="2"/>
  </w:num>
  <w:num w:numId="17">
    <w:abstractNumId w:val="20"/>
  </w:num>
  <w:num w:numId="18">
    <w:abstractNumId w:val="9"/>
  </w:num>
  <w:num w:numId="19">
    <w:abstractNumId w:val="17"/>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6515"/>
    <w:rsid w:val="001B49AA"/>
    <w:rsid w:val="004D7553"/>
    <w:rsid w:val="00584578"/>
    <w:rsid w:val="005E0792"/>
    <w:rsid w:val="006F3FC7"/>
    <w:rsid w:val="007A56B1"/>
    <w:rsid w:val="00A0109F"/>
    <w:rsid w:val="00AB4608"/>
    <w:rsid w:val="00D7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6515"/>
    <w:rPr>
      <w:b/>
      <w:bCs/>
    </w:rPr>
  </w:style>
  <w:style w:type="character" w:styleId="a5">
    <w:name w:val="Emphasis"/>
    <w:basedOn w:val="a0"/>
    <w:uiPriority w:val="20"/>
    <w:qFormat/>
    <w:rsid w:val="00D76515"/>
    <w:rPr>
      <w:i/>
      <w:iCs/>
    </w:rPr>
  </w:style>
</w:styles>
</file>

<file path=word/webSettings.xml><?xml version="1.0" encoding="utf-8"?>
<w:webSettings xmlns:r="http://schemas.openxmlformats.org/officeDocument/2006/relationships" xmlns:w="http://schemas.openxmlformats.org/wordprocessingml/2006/main">
  <w:divs>
    <w:div w:id="18204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6676</Words>
  <Characters>38059</Characters>
  <Application>Microsoft Office Word</Application>
  <DocSecurity>0</DocSecurity>
  <Lines>317</Lines>
  <Paragraphs>89</Paragraphs>
  <ScaleCrop>false</ScaleCrop>
  <Company/>
  <LinksUpToDate>false</LinksUpToDate>
  <CharactersWithSpaces>44646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2017-07-10T03:12:00Z</dcterms:created>
  <dcterms:modified xsi:type="dcterms:W3CDTF">2017-07-10T03:13:00Z</dcterms:modified>
</cp:coreProperties>
</file>