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B3" w:rsidRDefault="00DE11B3" w:rsidP="00DE11B3">
      <w:pPr>
        <w:pStyle w:val="Default"/>
        <w:spacing w:line="240" w:lineRule="atLeast"/>
        <w:jc w:val="right"/>
        <w:rPr>
          <w:rFonts w:ascii="Times New Roman" w:hAnsi="Times New Roman" w:cs="Times New Roman"/>
          <w:b/>
          <w:color w:val="auto"/>
        </w:rPr>
      </w:pPr>
      <w:r>
        <w:rPr>
          <w:rFonts w:ascii="Times New Roman" w:hAnsi="Times New Roman" w:cs="Times New Roman"/>
          <w:b/>
          <w:color w:val="auto"/>
        </w:rPr>
        <w:t xml:space="preserve">Приложение №2  </w:t>
      </w:r>
    </w:p>
    <w:p w:rsidR="00DE11B3" w:rsidRDefault="00DE11B3" w:rsidP="00DE11B3">
      <w:pPr>
        <w:pStyle w:val="Default"/>
        <w:spacing w:line="240" w:lineRule="atLeast"/>
        <w:jc w:val="right"/>
        <w:rPr>
          <w:rFonts w:ascii="Times New Roman" w:hAnsi="Times New Roman" w:cs="Times New Roman"/>
          <w:b/>
          <w:color w:val="auto"/>
        </w:rPr>
      </w:pPr>
      <w:r>
        <w:rPr>
          <w:rFonts w:ascii="Times New Roman" w:hAnsi="Times New Roman" w:cs="Times New Roman"/>
          <w:b/>
          <w:color w:val="auto"/>
        </w:rPr>
        <w:t xml:space="preserve">к Положению </w:t>
      </w:r>
    </w:p>
    <w:p w:rsidR="00DE11B3" w:rsidRDefault="00DE11B3" w:rsidP="00DE11B3">
      <w:pPr>
        <w:pStyle w:val="Default"/>
        <w:spacing w:line="240" w:lineRule="atLeast"/>
        <w:jc w:val="both"/>
        <w:rPr>
          <w:rFonts w:ascii="Times New Roman" w:hAnsi="Times New Roman" w:cs="Times New Roman"/>
          <w:b/>
          <w:color w:val="auto"/>
        </w:rPr>
      </w:pPr>
    </w:p>
    <w:p w:rsidR="00DE11B3" w:rsidRDefault="00DE11B3" w:rsidP="00DE11B3">
      <w:pPr>
        <w:pStyle w:val="Default"/>
        <w:spacing w:line="240" w:lineRule="atLeast"/>
        <w:jc w:val="both"/>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b/>
          <w:bCs/>
          <w:sz w:val="24"/>
          <w:szCs w:val="24"/>
        </w:rPr>
      </w:pPr>
    </w:p>
    <w:p w:rsidR="00DE11B3" w:rsidRDefault="00DE11B3" w:rsidP="00DE11B3">
      <w:pPr>
        <w:widowControl w:val="0"/>
        <w:autoSpaceDE w:val="0"/>
        <w:autoSpaceDN w:val="0"/>
        <w:adjustRightInd w:val="0"/>
        <w:spacing w:after="0" w:line="240" w:lineRule="atLeast"/>
        <w:jc w:val="center"/>
        <w:rPr>
          <w:rFonts w:ascii="Times New Roman" w:hAnsi="Times New Roman" w:cs="Times New Roman"/>
          <w:bCs/>
          <w:sz w:val="24"/>
          <w:szCs w:val="24"/>
        </w:rPr>
      </w:pPr>
    </w:p>
    <w:p w:rsidR="00DE11B3" w:rsidRPr="00B7661A" w:rsidRDefault="00DE11B3" w:rsidP="00DE11B3">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ПРАВИЛА</w:t>
      </w:r>
    </w:p>
    <w:p w:rsidR="00DE11B3" w:rsidRPr="00B7661A" w:rsidRDefault="00DE11B3" w:rsidP="00DE11B3">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ОЦЕНКИ ЗАЯВОК, ОКОНЧАТЕЛЬНЫХ ПРЕДЛОЖЕНИЙ УЧАСТНИКОВ ЗАКУПКИ</w:t>
      </w:r>
    </w:p>
    <w:p w:rsidR="00DE11B3" w:rsidRPr="00B7661A" w:rsidRDefault="00DE11B3" w:rsidP="00DE11B3">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ТОВАРОВ, РАБОТ, УСЛУГ  для нужд АО «На</w:t>
      </w:r>
      <w:r>
        <w:rPr>
          <w:rFonts w:ascii="Times New Roman" w:hAnsi="Times New Roman" w:cs="Times New Roman"/>
          <w:bCs/>
          <w:sz w:val="24"/>
          <w:szCs w:val="24"/>
        </w:rPr>
        <w:t>м</w:t>
      </w:r>
      <w:r w:rsidRPr="00B7661A">
        <w:rPr>
          <w:rFonts w:ascii="Times New Roman" w:hAnsi="Times New Roman" w:cs="Times New Roman"/>
          <w:bCs/>
          <w:sz w:val="24"/>
          <w:szCs w:val="24"/>
        </w:rPr>
        <w:t>коммунтеплоэнерго»</w:t>
      </w:r>
    </w:p>
    <w:p w:rsidR="00DE11B3" w:rsidRPr="00B7661A" w:rsidRDefault="00DE11B3" w:rsidP="00DE11B3">
      <w:pPr>
        <w:widowControl w:val="0"/>
        <w:autoSpaceDE w:val="0"/>
        <w:autoSpaceDN w:val="0"/>
        <w:adjustRightInd w:val="0"/>
        <w:spacing w:after="0" w:line="240" w:lineRule="atLeast"/>
        <w:jc w:val="center"/>
        <w:outlineLvl w:val="1"/>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I. Общие положения</w:t>
      </w:r>
    </w:p>
    <w:p w:rsidR="00DE11B3" w:rsidRPr="00B572AA" w:rsidRDefault="00DE11B3" w:rsidP="00DE11B3">
      <w:pPr>
        <w:widowControl w:val="0"/>
        <w:autoSpaceDE w:val="0"/>
        <w:autoSpaceDN w:val="0"/>
        <w:adjustRightInd w:val="0"/>
        <w:spacing w:after="0" w:line="240" w:lineRule="atLeast"/>
        <w:jc w:val="both"/>
        <w:rPr>
          <w:rFonts w:ascii="Times New Roman" w:hAnsi="Times New Roman" w:cs="Times New Roman"/>
          <w:sz w:val="24"/>
          <w:szCs w:val="24"/>
        </w:rPr>
      </w:pPr>
      <w:r w:rsidRPr="00B572AA">
        <w:rPr>
          <w:rFonts w:ascii="Times New Roman" w:hAnsi="Times New Roman" w:cs="Times New Roman"/>
          <w:sz w:val="24"/>
          <w:szCs w:val="24"/>
        </w:rPr>
        <w:t>1. Настоящие Правила определяют порядок оценки заявок, окончательных предложений участников закупки товаров, работ, услуг для обеспечения  нужд (далее - закупка) АО «Намкоммунтеплоэнерго»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 </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3. В настоящих Правилах применяются следующие термины:</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4. В целях настоящих Правил для оценки заявок (предложений) заказчик устанавливает в документации о закупке следующие критерии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характеризующиеся как стоимостные критерии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цена договора;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расходы на эксплуатацию и ремонт товаров (объектов), использование результатов работ;</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предложение о сумме соответствующих расходов заказчика, которые заказчик осуществит или понесет по энергосервисному договору;</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б) характеризующиеся как нестоимостные критерии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качественные, функциональные и экологические характеристики объекта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0" w:name="Par55"/>
      <w:bookmarkEnd w:id="0"/>
      <w:r w:rsidRPr="00B572AA">
        <w:rPr>
          <w:rFonts w:ascii="Times New Roman" w:hAnsi="Times New Roman" w:cs="Times New Roman"/>
          <w:sz w:val="24"/>
          <w:szCs w:val="24"/>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w:t>
      </w:r>
      <w:r w:rsidRPr="00B572AA">
        <w:rPr>
          <w:rFonts w:ascii="Times New Roman" w:hAnsi="Times New Roman" w:cs="Times New Roman"/>
          <w:sz w:val="24"/>
          <w:szCs w:val="24"/>
        </w:rPr>
        <w:lastRenderedPageBreak/>
        <w:t>(эксплуатацию)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1" w:name="Par56"/>
      <w:bookmarkEnd w:id="1"/>
      <w:r w:rsidRPr="00B572AA">
        <w:rPr>
          <w:rFonts w:ascii="Times New Roman" w:hAnsi="Times New Roman" w:cs="Times New Roman"/>
          <w:sz w:val="24"/>
          <w:szCs w:val="24"/>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7. 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пунктом 5 настоящих Правил, - критерий оценки "стоимость жизненного цикла".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2" w:name="Par60"/>
      <w:bookmarkEnd w:id="2"/>
      <w:r w:rsidRPr="00B572AA">
        <w:rPr>
          <w:rFonts w:ascii="Times New Roman" w:hAnsi="Times New Roman" w:cs="Times New Roman"/>
          <w:sz w:val="24"/>
          <w:szCs w:val="24"/>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11. Для оценки заявок (предложений) по каждому критерию оценки используется 100-балльная шкала оценки. Если в соответствии с пунктом 10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Сумма величин значимости показателей критерия оценки должна составлять 100 процентов.</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В случае осуществления закупки, по результатам которой заключается договор, предусматривающий выполнение строительных работ, заказчик обязан установить показатель, указанный в подпункте "б" пункта 27 настоящих Правил, за исключением </w:t>
      </w:r>
      <w:r w:rsidRPr="00B572AA">
        <w:rPr>
          <w:rFonts w:ascii="Times New Roman" w:hAnsi="Times New Roman" w:cs="Times New Roman"/>
          <w:sz w:val="24"/>
          <w:szCs w:val="24"/>
        </w:rPr>
        <w:lastRenderedPageBreak/>
        <w:t>случая, предусмотренного пунктом 30 настоящих Правил. При этом значимость показателя должна составлять не менее 50 процентов значимости всех нестоимостных критериев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предусмотренные пунктами 4 и 5 настоящих Правил критерии оценки, их величины значимости, а также вправе не применять установленные приложением к настоящим Правилам предельные величины значимости критериев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пунктом 12 настоящих Правил. Не допускается использование заказчиком критериев оценки или их величин значимости, не указанных в документации о закупке.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14. Итоговый рейтинг заявки (предложения) вычисляется как сумма рейтингов по каждому критерию оценки заявки (предложения).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II. Оценка заявок (предложений) по стоимостным критериям оценки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16. Количество баллов, присуждаемых по критериям оценки "цена договора" и "стоимость жизненного цикла" (</w:t>
      </w:r>
      <w:r w:rsidRPr="00B572AA">
        <w:rPr>
          <w:rFonts w:ascii="Times New Roman" w:hAnsi="Times New Roman" w:cs="Times New Roman"/>
          <w:noProof/>
          <w:position w:val="-12"/>
          <w:sz w:val="24"/>
          <w:szCs w:val="24"/>
        </w:rPr>
        <w:drawing>
          <wp:inline distT="0" distB="0" distL="0" distR="0">
            <wp:extent cx="280035" cy="22542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00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rPr>
        <w:drawing>
          <wp:inline distT="0" distB="0" distL="0" distR="0">
            <wp:extent cx="525145" cy="225425"/>
            <wp:effectExtent l="19050" t="0" r="8255"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rPr>
        <w:drawing>
          <wp:inline distT="0" distB="0" distL="0" distR="0">
            <wp:extent cx="1036955" cy="436880"/>
            <wp:effectExtent l="19050" t="0" r="0" b="0"/>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36955"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198120" cy="225425"/>
            <wp:effectExtent l="19050" t="0" r="0" b="0"/>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812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320675" cy="225425"/>
            <wp:effectExtent l="19050" t="0" r="3175" b="0"/>
            <wp:docPr id="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rPr>
        <w:drawing>
          <wp:inline distT="0" distB="0" distL="0" distR="0">
            <wp:extent cx="525145" cy="225425"/>
            <wp:effectExtent l="19050" t="0" r="8255" b="0"/>
            <wp:docPr id="4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rPr>
        <w:drawing>
          <wp:inline distT="0" distB="0" distL="0" distR="0">
            <wp:extent cx="1453515" cy="457200"/>
            <wp:effectExtent l="19050" t="0" r="0" b="0"/>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53515" cy="45720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где </w:t>
      </w:r>
      <w:r w:rsidRPr="00B572AA">
        <w:rPr>
          <w:rFonts w:ascii="Times New Roman" w:hAnsi="Times New Roman" w:cs="Times New Roman"/>
          <w:noProof/>
          <w:position w:val="-12"/>
          <w:sz w:val="24"/>
          <w:szCs w:val="24"/>
        </w:rPr>
        <w:drawing>
          <wp:inline distT="0" distB="0" distL="0" distR="0">
            <wp:extent cx="320675" cy="225425"/>
            <wp:effectExtent l="19050" t="0" r="3175" b="0"/>
            <wp:docPr id="5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Виды оцениваемых эксплуатационных расходов, учитываемых при оценке, </w:t>
      </w:r>
      <w:r w:rsidRPr="00B572AA">
        <w:rPr>
          <w:rFonts w:ascii="Times New Roman" w:hAnsi="Times New Roman" w:cs="Times New Roman"/>
          <w:sz w:val="24"/>
          <w:szCs w:val="24"/>
        </w:rPr>
        <w:lastRenderedPageBreak/>
        <w:t>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B572AA">
        <w:rPr>
          <w:rFonts w:ascii="Times New Roman" w:hAnsi="Times New Roman" w:cs="Times New Roman"/>
          <w:noProof/>
          <w:position w:val="-12"/>
          <w:sz w:val="24"/>
          <w:szCs w:val="24"/>
        </w:rPr>
        <w:drawing>
          <wp:inline distT="0" distB="0" distL="0" distR="0">
            <wp:extent cx="382270" cy="225425"/>
            <wp:effectExtent l="19050" t="0" r="0" b="0"/>
            <wp:docPr id="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8227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rPr>
        <w:drawing>
          <wp:inline distT="0" distB="0" distL="0" distR="0">
            <wp:extent cx="1228090" cy="436880"/>
            <wp:effectExtent l="1905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228090"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402590" cy="225425"/>
            <wp:effectExtent l="19050" t="0" r="0" b="0"/>
            <wp:docPr id="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286385" cy="225425"/>
            <wp:effectExtent l="19050" t="0" r="0" b="0"/>
            <wp:docPr id="5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8638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B572AA">
        <w:rPr>
          <w:rFonts w:ascii="Times New Roman" w:hAnsi="Times New Roman" w:cs="Times New Roman"/>
          <w:noProof/>
          <w:position w:val="-12"/>
          <w:sz w:val="24"/>
          <w:szCs w:val="24"/>
        </w:rPr>
        <w:drawing>
          <wp:inline distT="0" distB="0" distL="0" distR="0">
            <wp:extent cx="286385" cy="225425"/>
            <wp:effectExtent l="19050" t="0" r="0" b="0"/>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8638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 по формуле:</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28"/>
          <w:sz w:val="24"/>
          <w:szCs w:val="24"/>
        </w:rPr>
        <w:drawing>
          <wp:inline distT="0" distB="0" distL="0" distR="0">
            <wp:extent cx="825500" cy="436880"/>
            <wp:effectExtent l="19050" t="0" r="0" b="0"/>
            <wp:docPr id="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825500"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 число видов эксплуатационных расходов, учитываемых при оценке;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259080" cy="225425"/>
            <wp:effectExtent l="19050" t="0" r="7620" b="0"/>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5908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III. Оценка заявок (предложений) по нестоимостным критериям оценки</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20. Оценка по нестоимостным критериям (показателям), за исключением случаев оценки по показателям, указанным в подпунктах "а" и "в" пункта 25 настоящих Правил, и случаев, когда заказчиком установлена шкала оценки, осуществляется в порядке, установленном пунктами 21 - 24 настоящих Правил.</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rPr>
        <w:drawing>
          <wp:inline distT="0" distB="0" distL="0" distR="0">
            <wp:extent cx="402590" cy="225425"/>
            <wp:effectExtent l="19050" t="0" r="0" b="0"/>
            <wp:docPr id="5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rPr>
        <w:drawing>
          <wp:inline distT="0" distB="0" distL="0" distR="0">
            <wp:extent cx="1753870" cy="259080"/>
            <wp:effectExtent l="19050" t="0" r="0" b="0"/>
            <wp:docPr id="6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1753870"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случае если используется один показатель, КЗ = 1;</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307340" cy="225425"/>
            <wp:effectExtent l="19050" t="0" r="0" b="0"/>
            <wp:docPr id="6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30734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191135" cy="225425"/>
            <wp:effectExtent l="19050" t="0" r="0" b="0"/>
            <wp:docPr id="6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22.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абзацем вторым пункта 11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rPr>
        <w:drawing>
          <wp:inline distT="0" distB="0" distL="0" distR="0">
            <wp:extent cx="402590" cy="225425"/>
            <wp:effectExtent l="19050" t="0" r="0" b="0"/>
            <wp:docPr id="6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rPr>
        <w:drawing>
          <wp:inline distT="0" distB="0" distL="0" distR="0">
            <wp:extent cx="723265" cy="238760"/>
            <wp:effectExtent l="19050" t="0" r="635" b="0"/>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723265"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rPr>
        <w:drawing>
          <wp:inline distT="0" distB="0" distL="0" distR="0">
            <wp:extent cx="1753870" cy="259080"/>
            <wp:effectExtent l="19050" t="0" r="0" b="0"/>
            <wp:docPr id="6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1753870"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rPr>
        <w:drawing>
          <wp:inline distT="0" distB="0" distL="0" distR="0">
            <wp:extent cx="723265" cy="238760"/>
            <wp:effectExtent l="19050" t="0" r="635"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723265"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6"/>
          <w:sz w:val="24"/>
          <w:szCs w:val="24"/>
        </w:rPr>
        <w:drawing>
          <wp:inline distT="0" distB="0" distL="0" distR="0">
            <wp:extent cx="1794510" cy="280035"/>
            <wp:effectExtent l="19050" t="0" r="0" b="0"/>
            <wp:docPr id="6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1794510" cy="2800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при этом </w:t>
      </w:r>
      <w:r w:rsidRPr="00B572AA">
        <w:rPr>
          <w:rFonts w:ascii="Times New Roman" w:hAnsi="Times New Roman" w:cs="Times New Roman"/>
          <w:noProof/>
          <w:position w:val="-12"/>
          <w:sz w:val="24"/>
          <w:szCs w:val="24"/>
        </w:rPr>
        <w:drawing>
          <wp:inline distT="0" distB="0" distL="0" distR="0">
            <wp:extent cx="1146175" cy="225425"/>
            <wp:effectExtent l="19050" t="0" r="0" b="0"/>
            <wp:docPr id="6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11461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307340" cy="225425"/>
            <wp:effectExtent l="19050" t="0" r="0" b="0"/>
            <wp:docPr id="6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srcRect/>
                    <a:stretch>
                      <a:fillRect/>
                    </a:stretch>
                  </pic:blipFill>
                  <pic:spPr bwMode="auto">
                    <a:xfrm>
                      <a:off x="0" y="0"/>
                      <a:ext cx="30734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4"/>
          <w:sz w:val="24"/>
          <w:szCs w:val="24"/>
        </w:rPr>
        <w:drawing>
          <wp:inline distT="0" distB="0" distL="0" distR="0">
            <wp:extent cx="361950" cy="191135"/>
            <wp:effectExtent l="19050" t="0" r="0" b="0"/>
            <wp:docPr id="7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предельно необходимое заказчику значение характеристик, указанное в абзаце втором пункта 11 настоящих Правил;</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191135" cy="225425"/>
            <wp:effectExtent l="19050" t="0" r="0" b="0"/>
            <wp:docPr id="7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504825" cy="225425"/>
            <wp:effectExtent l="19050" t="0" r="9525" b="0"/>
            <wp:docPr id="7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srcRect/>
                    <a:stretch>
                      <a:fillRect/>
                    </a:stretch>
                  </pic:blipFill>
                  <pic:spPr bwMode="auto">
                    <a:xfrm>
                      <a:off x="0" y="0"/>
                      <a:ext cx="50482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24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rPr>
        <w:drawing>
          <wp:inline distT="0" distB="0" distL="0" distR="0">
            <wp:extent cx="402590" cy="225425"/>
            <wp:effectExtent l="19050" t="0" r="0" b="0"/>
            <wp:docPr id="7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rPr>
        <w:drawing>
          <wp:inline distT="0" distB="0" distL="0" distR="0">
            <wp:extent cx="1781175" cy="259080"/>
            <wp:effectExtent l="19050" t="0" r="0" b="0"/>
            <wp:docPr id="7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1781175"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случае если используется один показатель, КЗ = 1;</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191135" cy="225425"/>
            <wp:effectExtent l="19050" t="0" r="0" b="0"/>
            <wp:docPr id="7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320675" cy="225425"/>
            <wp:effectExtent l="19050" t="0" r="3175" b="0"/>
            <wp:docPr id="7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24. В случае если для заказчика лучшим условием исполнения договора по критерию </w:t>
      </w:r>
      <w:r w:rsidRPr="00B572AA">
        <w:rPr>
          <w:rFonts w:ascii="Times New Roman" w:hAnsi="Times New Roman" w:cs="Times New Roman"/>
          <w:sz w:val="24"/>
          <w:szCs w:val="24"/>
        </w:rPr>
        <w:lastRenderedPageBreak/>
        <w:t>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rPr>
        <w:drawing>
          <wp:inline distT="0" distB="0" distL="0" distR="0">
            <wp:extent cx="402590" cy="225425"/>
            <wp:effectExtent l="19050" t="0" r="0" b="0"/>
            <wp:docPr id="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rPr>
        <w:drawing>
          <wp:inline distT="0" distB="0" distL="0" distR="0">
            <wp:extent cx="750570" cy="238760"/>
            <wp:effectExtent l="19050" t="0" r="0" b="0"/>
            <wp:docPr id="7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srcRect/>
                    <a:stretch>
                      <a:fillRect/>
                    </a:stretch>
                  </pic:blipFill>
                  <pic:spPr bwMode="auto">
                    <a:xfrm>
                      <a:off x="0" y="0"/>
                      <a:ext cx="750570"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rPr>
        <w:drawing>
          <wp:inline distT="0" distB="0" distL="0" distR="0">
            <wp:extent cx="1781175" cy="259080"/>
            <wp:effectExtent l="19050" t="0" r="0" b="0"/>
            <wp:docPr id="7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1781175"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rPr>
        <w:drawing>
          <wp:inline distT="0" distB="0" distL="0" distR="0">
            <wp:extent cx="750570" cy="238760"/>
            <wp:effectExtent l="19050" t="0" r="0" b="0"/>
            <wp:docPr id="8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srcRect/>
                    <a:stretch>
                      <a:fillRect/>
                    </a:stretch>
                  </pic:blipFill>
                  <pic:spPr bwMode="auto">
                    <a:xfrm>
                      <a:off x="0" y="0"/>
                      <a:ext cx="750570"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6"/>
          <w:sz w:val="24"/>
          <w:szCs w:val="24"/>
        </w:rPr>
        <w:drawing>
          <wp:inline distT="0" distB="0" distL="0" distR="0">
            <wp:extent cx="1794510" cy="280035"/>
            <wp:effectExtent l="19050" t="0" r="0" b="0"/>
            <wp:docPr id="8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srcRect/>
                    <a:stretch>
                      <a:fillRect/>
                    </a:stretch>
                  </pic:blipFill>
                  <pic:spPr bwMode="auto">
                    <a:xfrm>
                      <a:off x="0" y="0"/>
                      <a:ext cx="1794510" cy="2800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при этом </w:t>
      </w:r>
      <w:r w:rsidRPr="00B572AA">
        <w:rPr>
          <w:rFonts w:ascii="Times New Roman" w:hAnsi="Times New Roman" w:cs="Times New Roman"/>
          <w:noProof/>
          <w:position w:val="-12"/>
          <w:sz w:val="24"/>
          <w:szCs w:val="24"/>
        </w:rPr>
        <w:drawing>
          <wp:inline distT="0" distB="0" distL="0" distR="0">
            <wp:extent cx="1153160" cy="225425"/>
            <wp:effectExtent l="19050" t="0" r="8890" b="0"/>
            <wp:docPr id="8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srcRect/>
                    <a:stretch>
                      <a:fillRect/>
                    </a:stretch>
                  </pic:blipFill>
                  <pic:spPr bwMode="auto">
                    <a:xfrm>
                      <a:off x="0" y="0"/>
                      <a:ext cx="115316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191135" cy="225425"/>
            <wp:effectExtent l="19050" t="0" r="0" b="0"/>
            <wp:docPr id="8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320675" cy="225425"/>
            <wp:effectExtent l="19050" t="0" r="3175" b="0"/>
            <wp:docPr id="8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4"/>
          <w:sz w:val="24"/>
          <w:szCs w:val="24"/>
        </w:rPr>
        <w:drawing>
          <wp:inline distT="0" distB="0" distL="0" distR="0">
            <wp:extent cx="361950" cy="191135"/>
            <wp:effectExtent l="19050" t="0" r="0" b="0"/>
            <wp:docPr id="8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предельно необходимое заказчику значение характеристик, указанное в абзаце втором пункта 11 настоящих Правил;</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rPr>
        <w:drawing>
          <wp:inline distT="0" distB="0" distL="0" distR="0">
            <wp:extent cx="525145" cy="225425"/>
            <wp:effectExtent l="19050" t="0" r="8255" b="0"/>
            <wp:docPr id="8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качество товаров (качество работ, качество услуг);</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б) функциональные, потребительские свойства товара;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соответствие экологическим нормам.</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26. Количество баллов, присваиваемых заявке (предложению) по показателям, предусмотренным пунктом 25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 обеспеченность участника закупки трудовыми ресурсами;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д) деловая репутация участника закупки.</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lastRenderedPageBreak/>
        <w:t>28.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пунктом 10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абзацем вторым пункта 11 настоящих Правил.</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E11B3" w:rsidRPr="00B572AA" w:rsidRDefault="00DE11B3" w:rsidP="00DE11B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30. В случае если в отношении участников закупки предъявляются дополнительные требования в соответствии с частью 2 статьи 31 Федерального закона "О договорной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DE11B3" w:rsidRDefault="00DE11B3" w:rsidP="00DE11B3"/>
    <w:p w:rsidR="00DE11B3" w:rsidRPr="00123B52" w:rsidRDefault="00DE11B3" w:rsidP="00DE11B3">
      <w:pPr>
        <w:jc w:val="both"/>
        <w:rPr>
          <w:rFonts w:ascii="Times New Roman" w:hAnsi="Times New Roman" w:cs="Times New Roman"/>
          <w:sz w:val="24"/>
          <w:szCs w:val="24"/>
        </w:rPr>
      </w:pPr>
    </w:p>
    <w:p w:rsidR="00DE11B3" w:rsidRPr="007606B1" w:rsidRDefault="00DE11B3" w:rsidP="00DE11B3">
      <w:pPr>
        <w:spacing w:after="0"/>
        <w:jc w:val="both"/>
        <w:rPr>
          <w:rFonts w:ascii="Times New Roman" w:hAnsi="Times New Roman" w:cs="Times New Roman"/>
          <w:sz w:val="24"/>
          <w:szCs w:val="24"/>
        </w:rPr>
      </w:pPr>
    </w:p>
    <w:p w:rsidR="00DE11B3" w:rsidRPr="007606B1" w:rsidRDefault="00DE11B3" w:rsidP="00DE11B3">
      <w:pPr>
        <w:spacing w:after="0"/>
        <w:jc w:val="both"/>
        <w:rPr>
          <w:rFonts w:ascii="Times New Roman" w:hAnsi="Times New Roman" w:cs="Times New Roman"/>
          <w:b/>
          <w:sz w:val="24"/>
          <w:szCs w:val="24"/>
        </w:rPr>
      </w:pPr>
    </w:p>
    <w:p w:rsidR="00DE11B3" w:rsidRPr="007606B1" w:rsidRDefault="00DE11B3" w:rsidP="00DE11B3">
      <w:pPr>
        <w:spacing w:after="0"/>
        <w:jc w:val="center"/>
        <w:rPr>
          <w:rFonts w:ascii="Times New Roman" w:hAnsi="Times New Roman" w:cs="Times New Roman"/>
          <w:sz w:val="24"/>
          <w:szCs w:val="24"/>
        </w:rPr>
      </w:pPr>
    </w:p>
    <w:p w:rsidR="00DE11B3" w:rsidRDefault="00DE11B3" w:rsidP="00DE11B3"/>
    <w:p w:rsidR="00000000" w:rsidRDefault="00DE11B3"/>
    <w:sectPr w:rsidR="00000000" w:rsidSect="009E0A7B">
      <w:footerReference w:type="default" r:id="rId41"/>
      <w:pgSz w:w="11906" w:h="16838"/>
      <w:pgMar w:top="709" w:right="850" w:bottom="568"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5673"/>
      <w:docPartObj>
        <w:docPartGallery w:val="Page Numbers (Bottom of Page)"/>
        <w:docPartUnique/>
      </w:docPartObj>
    </w:sdtPr>
    <w:sdtEndPr/>
    <w:sdtContent>
      <w:p w:rsidR="003D7118" w:rsidRDefault="00DE11B3">
        <w:pPr>
          <w:pStyle w:val="a3"/>
          <w:jc w:val="right"/>
        </w:pPr>
        <w:r>
          <w:fldChar w:fldCharType="begin"/>
        </w:r>
        <w:r>
          <w:instrText xml:space="preserve"> PAGE   \* MERGEFORMAT </w:instrText>
        </w:r>
        <w:r>
          <w:fldChar w:fldCharType="separate"/>
        </w:r>
        <w:r>
          <w:rPr>
            <w:noProof/>
          </w:rPr>
          <w:t>2</w:t>
        </w:r>
        <w:r>
          <w:fldChar w:fldCharType="end"/>
        </w:r>
      </w:p>
    </w:sdtContent>
  </w:sdt>
  <w:p w:rsidR="003D7118" w:rsidRDefault="00DE11B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DE11B3"/>
    <w:rsid w:val="00DE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1B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3">
    <w:name w:val="footer"/>
    <w:basedOn w:val="a"/>
    <w:link w:val="a4"/>
    <w:uiPriority w:val="99"/>
    <w:unhideWhenUsed/>
    <w:rsid w:val="00DE11B3"/>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DE11B3"/>
    <w:rPr>
      <w:rFonts w:eastAsiaTheme="minorHAnsi"/>
      <w:lang w:eastAsia="en-US"/>
    </w:rPr>
  </w:style>
  <w:style w:type="paragraph" w:styleId="a5">
    <w:name w:val="Balloon Text"/>
    <w:basedOn w:val="a"/>
    <w:link w:val="a6"/>
    <w:uiPriority w:val="99"/>
    <w:semiHidden/>
    <w:unhideWhenUsed/>
    <w:rsid w:val="00DE11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Бух</cp:lastModifiedBy>
  <cp:revision>2</cp:revision>
  <dcterms:created xsi:type="dcterms:W3CDTF">2015-12-28T07:20:00Z</dcterms:created>
  <dcterms:modified xsi:type="dcterms:W3CDTF">2015-12-28T07:20:00Z</dcterms:modified>
</cp:coreProperties>
</file>